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87FBA" w14:textId="75BB9520" w:rsidR="00F52489"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BIS-e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R4-23</w:t>
      </w:r>
      <w:r w:rsidR="00233D33">
        <w:rPr>
          <w:rFonts w:ascii="Arial" w:eastAsia="Arial" w:hAnsi="Arial" w:cs="Arial"/>
          <w:b/>
          <w:color w:val="000000"/>
          <w:sz w:val="24"/>
          <w:szCs w:val="24"/>
        </w:rPr>
        <w:t>04184</w:t>
      </w:r>
    </w:p>
    <w:p w14:paraId="2478F55D" w14:textId="77777777" w:rsidR="00F52489" w:rsidRDefault="00000000">
      <w:pPr>
        <w:rPr>
          <w:rFonts w:ascii="Arial" w:eastAsia="Arial" w:hAnsi="Arial" w:cs="Arial"/>
          <w:b/>
          <w:sz w:val="24"/>
          <w:szCs w:val="24"/>
        </w:rPr>
      </w:pPr>
      <w:r>
        <w:rPr>
          <w:rFonts w:ascii="Arial" w:eastAsia="Arial" w:hAnsi="Arial" w:cs="Arial"/>
          <w:b/>
          <w:sz w:val="24"/>
          <w:szCs w:val="24"/>
        </w:rPr>
        <w:t>Electronic Meeting, 17</w:t>
      </w:r>
      <w:r>
        <w:rPr>
          <w:rFonts w:ascii="Arial" w:eastAsia="Arial" w:hAnsi="Arial" w:cs="Arial"/>
          <w:b/>
          <w:sz w:val="24"/>
          <w:szCs w:val="24"/>
          <w:vertAlign w:val="superscript"/>
        </w:rPr>
        <w:t>th</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eastAsia="Arial" w:hAnsi="Arial" w:cs="Arial"/>
          <w:b/>
          <w:sz w:val="24"/>
          <w:szCs w:val="24"/>
        </w:rPr>
        <w:t>April,</w:t>
      </w:r>
      <w:proofErr w:type="gramEnd"/>
      <w:r>
        <w:rPr>
          <w:rFonts w:ascii="Arial" w:eastAsia="Arial" w:hAnsi="Arial" w:cs="Arial"/>
          <w:b/>
          <w:sz w:val="24"/>
          <w:szCs w:val="24"/>
        </w:rPr>
        <w:t xml:space="preserve"> 2023</w:t>
      </w:r>
    </w:p>
    <w:p w14:paraId="4F69AEC0" w14:textId="77777777" w:rsidR="00F52489" w:rsidRDefault="00F52489">
      <w:pPr>
        <w:rPr>
          <w:rFonts w:ascii="Arial" w:eastAsia="Arial" w:hAnsi="Arial" w:cs="Arial"/>
          <w:b/>
          <w:color w:val="000000"/>
          <w:sz w:val="24"/>
          <w:szCs w:val="24"/>
        </w:rPr>
      </w:pPr>
    </w:p>
    <w:p w14:paraId="2461DDE8" w14:textId="77777777"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5.31.2.1.2</w:t>
      </w:r>
    </w:p>
    <w:p w14:paraId="598AE52C" w14:textId="77777777"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4086A54C" w14:textId="1D2DD0F0" w:rsidR="00F5248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 xml:space="preserve">MPR simulation assumptions and </w:t>
      </w:r>
      <w:r w:rsidR="00233D33">
        <w:rPr>
          <w:rFonts w:ascii="Arial" w:eastAsia="Arial" w:hAnsi="Arial" w:cs="Arial"/>
          <w:b/>
          <w:color w:val="000000"/>
          <w:sz w:val="20"/>
          <w:szCs w:val="20"/>
        </w:rPr>
        <w:t xml:space="preserve">Other </w:t>
      </w:r>
      <w:r w:rsidR="004377FA">
        <w:rPr>
          <w:rFonts w:ascii="Arial" w:eastAsia="Arial" w:hAnsi="Arial" w:cs="Arial"/>
          <w:b/>
          <w:color w:val="000000"/>
          <w:sz w:val="20"/>
          <w:szCs w:val="20"/>
        </w:rPr>
        <w:t>Tx</w:t>
      </w:r>
      <w:r>
        <w:rPr>
          <w:rFonts w:ascii="Arial" w:eastAsia="Arial" w:hAnsi="Arial" w:cs="Arial"/>
          <w:b/>
          <w:color w:val="000000"/>
          <w:sz w:val="20"/>
          <w:szCs w:val="20"/>
        </w:rPr>
        <w:t xml:space="preserve"> requirements for SL-U in Rel-18</w:t>
      </w:r>
    </w:p>
    <w:p w14:paraId="0880260F" w14:textId="77777777" w:rsidR="00F5248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3740D1EF" w14:textId="77777777" w:rsidR="00F52489" w:rsidRDefault="00000000">
      <w:pPr>
        <w:pStyle w:val="1"/>
        <w:numPr>
          <w:ilvl w:val="0"/>
          <w:numId w:val="5"/>
        </w:numPr>
        <w:spacing w:before="240"/>
        <w:ind w:left="270" w:hanging="270"/>
      </w:pPr>
      <w:r>
        <w:t>Introduction</w:t>
      </w:r>
    </w:p>
    <w:p w14:paraId="4CC29869" w14:textId="77777777" w:rsidR="00F52489" w:rsidRDefault="00000000">
      <w:pPr>
        <w:rPr>
          <w:rFonts w:ascii="Times" w:eastAsia="Times" w:hAnsi="Times" w:cs="Times"/>
        </w:rPr>
      </w:pPr>
      <w:r>
        <w:t>In RAN4 #106 meeting, the NR SL evolution scope and work plan were discussed and approved WF [1] to support NR SL evolution objectives in Rel-18</w:t>
      </w:r>
      <w:r>
        <w:rPr>
          <w:rFonts w:ascii="Times" w:eastAsia="Times" w:hAnsi="Times" w:cs="Times"/>
        </w:rPr>
        <w:t>. For the SL-U operation in unlicensed band e.g., n46/n96/n102 bands, RAN4 agreed to focus on the single carrier operation firstly in the focused FR1 unlicensed bands, RAN4 will specify the SL-U RF requirements based on the existing channel access mechanism and legacy NR SL and NR-U channel structure as approved WI objectives.</w:t>
      </w:r>
    </w:p>
    <w:p w14:paraId="605DE522" w14:textId="77777777" w:rsidR="00F52489" w:rsidRDefault="00F5248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52489" w14:paraId="5B592621" w14:textId="77777777">
        <w:tc>
          <w:tcPr>
            <w:tcW w:w="9019" w:type="dxa"/>
          </w:tcPr>
          <w:p w14:paraId="0D2C4643" w14:textId="77777777" w:rsidR="00F52489" w:rsidRDefault="00000000">
            <w:pPr>
              <w:pStyle w:val="3"/>
              <w:numPr>
                <w:ilvl w:val="1"/>
                <w:numId w:val="3"/>
              </w:numPr>
              <w:spacing w:after="0"/>
              <w:ind w:left="576" w:hanging="576"/>
              <w:rPr>
                <w:color w:val="0000FF"/>
              </w:rPr>
            </w:pPr>
            <w:bookmarkStart w:id="1" w:name="_heading=h.30j0zll" w:colFirst="0" w:colLast="0"/>
            <w:bookmarkEnd w:id="1"/>
            <w:r>
              <w:rPr>
                <w:color w:val="0000FF"/>
              </w:rPr>
              <w:t xml:space="preserve">Objective of SI or Core part WI or Testing part WI </w:t>
            </w:r>
            <w:r>
              <w:rPr>
                <w:b/>
              </w:rPr>
              <w:t>(in [2])</w:t>
            </w:r>
          </w:p>
          <w:p w14:paraId="769023F2" w14:textId="77777777" w:rsidR="00F52489" w:rsidRDefault="00000000">
            <w:pPr>
              <w:widowControl/>
              <w:numPr>
                <w:ilvl w:val="0"/>
                <w:numId w:val="1"/>
              </w:numPr>
              <w:spacing w:after="0"/>
              <w:ind w:left="426" w:hanging="284"/>
              <w:jc w:val="left"/>
              <w:rPr>
                <w:rFonts w:ascii="Times" w:eastAsia="Times" w:hAnsi="Times" w:cs="Times"/>
              </w:rPr>
            </w:pPr>
            <w:r>
              <w:rPr>
                <w:rFonts w:ascii="Times" w:eastAsia="Times" w:hAnsi="Times" w:cs="Times"/>
                <w:b/>
              </w:rPr>
              <w:t>Specify mechanism to support NR sidelink CA operation</w:t>
            </w:r>
            <w:r>
              <w:rPr>
                <w:rFonts w:ascii="Times" w:eastAsia="Times" w:hAnsi="Times" w:cs="Times"/>
              </w:rPr>
              <w:t xml:space="preserve"> based on LTE sidelink CA operation </w:t>
            </w:r>
            <w:r>
              <w:rPr>
                <w:rFonts w:ascii="Times" w:eastAsia="Times" w:hAnsi="Times" w:cs="Times"/>
                <w:b/>
              </w:rPr>
              <w:t>[RAN2, RAN1, RAN4]</w:t>
            </w:r>
          </w:p>
          <w:p w14:paraId="12BFF02E" w14:textId="77777777" w:rsidR="00F52489" w:rsidRDefault="00000000">
            <w:pPr>
              <w:widowControl/>
              <w:numPr>
                <w:ilvl w:val="0"/>
                <w:numId w:val="1"/>
              </w:numPr>
              <w:spacing w:after="0"/>
              <w:ind w:left="426" w:hanging="284"/>
              <w:jc w:val="left"/>
              <w:rPr>
                <w:rFonts w:ascii="Times" w:eastAsia="Times" w:hAnsi="Times" w:cs="Times"/>
                <w:b/>
                <w:highlight w:val="yellow"/>
              </w:rPr>
            </w:pPr>
            <w:r>
              <w:rPr>
                <w:rFonts w:ascii="Times" w:eastAsia="Times" w:hAnsi="Times" w:cs="Times"/>
                <w:b/>
                <w:highlight w:val="yellow"/>
              </w:rPr>
              <w:t>Study and specify support of sidelink on unlicensed spectrum for both mode 1 and mode 2 where Uu operation for mode 1 is limited to licensed spectrum only [RAN1, RAN2, RAN4]</w:t>
            </w:r>
          </w:p>
          <w:p w14:paraId="686DD286" w14:textId="77777777" w:rsidR="00F52489" w:rsidRDefault="00000000">
            <w:pPr>
              <w:widowControl/>
              <w:numPr>
                <w:ilvl w:val="0"/>
                <w:numId w:val="2"/>
              </w:numPr>
              <w:spacing w:before="60" w:after="60"/>
              <w:ind w:left="993" w:hanging="283"/>
              <w:jc w:val="left"/>
              <w:rPr>
                <w:rFonts w:ascii="Times" w:eastAsia="Times" w:hAnsi="Times" w:cs="Times"/>
              </w:rPr>
            </w:pPr>
            <w:r>
              <w:rPr>
                <w:rFonts w:ascii="Times" w:eastAsia="Times" w:hAnsi="Times" w:cs="Times"/>
              </w:rPr>
              <w:t xml:space="preserve">Channel access mechanisms from NR-U shall be reused for sidelink unlicensed </w:t>
            </w:r>
            <w:proofErr w:type="gramStart"/>
            <w:r>
              <w:rPr>
                <w:rFonts w:ascii="Times" w:eastAsia="Times" w:hAnsi="Times" w:cs="Times"/>
              </w:rPr>
              <w:t>operation</w:t>
            </w:r>
            <w:proofErr w:type="gramEnd"/>
          </w:p>
          <w:p w14:paraId="58325943" w14:textId="77777777" w:rsidR="00F52489" w:rsidRDefault="00000000">
            <w:pPr>
              <w:widowControl/>
              <w:numPr>
                <w:ilvl w:val="1"/>
                <w:numId w:val="2"/>
              </w:numPr>
              <w:spacing w:before="60" w:after="60"/>
              <w:ind w:left="1418" w:hanging="284"/>
              <w:jc w:val="left"/>
              <w:rPr>
                <w:rFonts w:ascii="Times" w:eastAsia="Times" w:hAnsi="Times" w:cs="Times"/>
              </w:rPr>
            </w:pPr>
            <w:bookmarkStart w:id="2" w:name="_heading=h.26in1rg" w:colFirst="0" w:colLast="0"/>
            <w:bookmarkEnd w:id="2"/>
            <w:r>
              <w:rPr>
                <w:rFonts w:ascii="Times" w:eastAsia="Times" w:hAnsi="Times" w:cs="Times"/>
              </w:rPr>
              <w:t xml:space="preserve">Assess the applicability of sidelink resource reservation from Rel-16/Rel-17 to sidelink unlicensed operation within the boundaries of unlicensed channel access mechanism and </w:t>
            </w:r>
            <w:proofErr w:type="gramStart"/>
            <w:r>
              <w:rPr>
                <w:rFonts w:ascii="Times" w:eastAsia="Times" w:hAnsi="Times" w:cs="Times"/>
              </w:rPr>
              <w:t>operation</w:t>
            </w:r>
            <w:proofErr w:type="gramEnd"/>
          </w:p>
          <w:p w14:paraId="1E973F7A" w14:textId="77777777" w:rsidR="00F52489" w:rsidRDefault="00000000">
            <w:pPr>
              <w:widowControl/>
              <w:numPr>
                <w:ilvl w:val="2"/>
                <w:numId w:val="2"/>
              </w:numPr>
              <w:spacing w:before="60" w:after="60"/>
              <w:jc w:val="left"/>
              <w:rPr>
                <w:rFonts w:ascii="Times" w:eastAsia="Times" w:hAnsi="Times" w:cs="Times"/>
              </w:rPr>
            </w:pPr>
            <w:r>
              <w:rPr>
                <w:rFonts w:ascii="Times" w:eastAsia="Times" w:hAnsi="Times" w:cs="Times"/>
              </w:rPr>
              <w:t>No specific enhancements for Rel-17 resource allocation mechanisms</w:t>
            </w:r>
          </w:p>
          <w:p w14:paraId="2B6AE085" w14:textId="77777777" w:rsidR="00F52489" w:rsidRDefault="00000000">
            <w:pPr>
              <w:widowControl/>
              <w:numPr>
                <w:ilvl w:val="2"/>
                <w:numId w:val="2"/>
              </w:numPr>
              <w:spacing w:before="60" w:after="60"/>
              <w:jc w:val="left"/>
              <w:rPr>
                <w:rFonts w:ascii="Times" w:eastAsia="Times" w:hAnsi="Times" w:cs="Times"/>
              </w:rPr>
            </w:pPr>
            <w:r>
              <w:rPr>
                <w:rFonts w:ascii="Times" w:eastAsia="Times" w:hAnsi="Times" w:cs="Times"/>
              </w:rPr>
              <w:t>If the existing NR-U channel access framework does not support the required SL-U functionality, WGs will make appropriate recommendations for RAN approval.</w:t>
            </w:r>
          </w:p>
          <w:p w14:paraId="3E3426CF" w14:textId="77777777" w:rsidR="00F52489" w:rsidRDefault="00000000">
            <w:pPr>
              <w:widowControl/>
              <w:numPr>
                <w:ilvl w:val="0"/>
                <w:numId w:val="2"/>
              </w:numPr>
              <w:spacing w:before="60" w:after="60"/>
              <w:ind w:left="993" w:hanging="283"/>
              <w:jc w:val="left"/>
              <w:rPr>
                <w:rFonts w:ascii="Times" w:eastAsia="Times" w:hAnsi="Times" w:cs="Times"/>
              </w:rPr>
            </w:pPr>
            <w:bookmarkStart w:id="3" w:name="_heading=h.lnxbz9" w:colFirst="0" w:colLast="0"/>
            <w:bookmarkEnd w:id="3"/>
            <w:r>
              <w:rPr>
                <w:rFonts w:ascii="Times" w:eastAsia="Times" w:hAnsi="Times" w:cs="Times"/>
              </w:rPr>
              <w:t xml:space="preserve">Physical channel design framework: Required changes to NR sidelink physical channel structures and procedures to operate on unlicensed </w:t>
            </w:r>
            <w:proofErr w:type="gramStart"/>
            <w:r>
              <w:rPr>
                <w:rFonts w:ascii="Times" w:eastAsia="Times" w:hAnsi="Times" w:cs="Times"/>
              </w:rPr>
              <w:t>spectrum</w:t>
            </w:r>
            <w:proofErr w:type="gramEnd"/>
          </w:p>
          <w:p w14:paraId="71C19A87" w14:textId="77777777" w:rsidR="00F52489" w:rsidRDefault="00000000">
            <w:pPr>
              <w:widowControl/>
              <w:numPr>
                <w:ilvl w:val="1"/>
                <w:numId w:val="2"/>
              </w:numPr>
              <w:spacing w:before="60" w:after="60"/>
              <w:ind w:left="1418" w:hanging="284"/>
              <w:jc w:val="left"/>
              <w:rPr>
                <w:rFonts w:ascii="Times" w:eastAsia="Times" w:hAnsi="Times" w:cs="Times"/>
              </w:rPr>
            </w:pPr>
            <w:bookmarkStart w:id="4" w:name="_heading=h.35nkun2" w:colFirst="0" w:colLast="0"/>
            <w:bookmarkEnd w:id="4"/>
            <w:r>
              <w:rPr>
                <w:rFonts w:ascii="Times" w:eastAsia="Times" w:hAnsi="Times" w:cs="Times"/>
              </w:rPr>
              <w:t>The existing NR sidelink and NR-U channel structure shall be reused as the baseline.</w:t>
            </w:r>
          </w:p>
          <w:p w14:paraId="2B522A40" w14:textId="77777777" w:rsidR="00F52489" w:rsidRDefault="00000000">
            <w:pPr>
              <w:widowControl/>
              <w:numPr>
                <w:ilvl w:val="0"/>
                <w:numId w:val="2"/>
              </w:numPr>
              <w:spacing w:before="60" w:after="60"/>
              <w:ind w:left="993" w:hanging="283"/>
              <w:jc w:val="left"/>
              <w:rPr>
                <w:rFonts w:ascii="Times" w:eastAsia="Times" w:hAnsi="Times" w:cs="Times"/>
              </w:rPr>
            </w:pPr>
            <w:bookmarkStart w:id="5" w:name="_heading=h.1ksv4uv" w:colFirst="0" w:colLast="0"/>
            <w:bookmarkEnd w:id="5"/>
            <w:r>
              <w:rPr>
                <w:rFonts w:ascii="Times" w:eastAsia="Times" w:hAnsi="Times" w:cs="Times"/>
              </w:rPr>
              <w:t>No specific enhancements for existing NR SL feature</w:t>
            </w:r>
          </w:p>
          <w:p w14:paraId="0A2BA0CF" w14:textId="77777777" w:rsidR="00F52489" w:rsidRDefault="00000000">
            <w:pPr>
              <w:widowControl/>
              <w:numPr>
                <w:ilvl w:val="0"/>
                <w:numId w:val="2"/>
              </w:numPr>
              <w:spacing w:before="60" w:after="60"/>
              <w:ind w:left="993" w:hanging="283"/>
              <w:jc w:val="left"/>
              <w:rPr>
                <w:rFonts w:ascii="Times" w:eastAsia="Times" w:hAnsi="Times" w:cs="Times"/>
              </w:rPr>
            </w:pPr>
            <w:bookmarkStart w:id="6" w:name="_heading=h.44sinio" w:colFirst="0" w:colLast="0"/>
            <w:bookmarkEnd w:id="6"/>
            <w:r>
              <w:rPr>
                <w:rFonts w:ascii="Times" w:eastAsia="Times" w:hAnsi="Times" w:cs="Times"/>
              </w:rPr>
              <w:t>Focus on FR1 unlicensed bands (n46 and n96/n102).</w:t>
            </w:r>
          </w:p>
          <w:p w14:paraId="46C4EA95" w14:textId="77777777" w:rsidR="00F52489" w:rsidRDefault="00000000">
            <w:pPr>
              <w:widowControl/>
              <w:numPr>
                <w:ilvl w:val="0"/>
                <w:numId w:val="2"/>
              </w:numPr>
              <w:spacing w:before="60" w:after="60"/>
              <w:ind w:left="993" w:hanging="283"/>
              <w:jc w:val="left"/>
              <w:rPr>
                <w:rFonts w:ascii="Times" w:eastAsia="Times" w:hAnsi="Times" w:cs="Times"/>
              </w:rPr>
            </w:pPr>
            <w:r>
              <w:rPr>
                <w:rFonts w:ascii="Times" w:eastAsia="Times" w:hAnsi="Times" w:cs="Times"/>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0B68379D" w14:textId="77777777" w:rsidR="00F52489" w:rsidRDefault="00000000">
            <w:pPr>
              <w:widowControl/>
              <w:numPr>
                <w:ilvl w:val="0"/>
                <w:numId w:val="1"/>
              </w:numPr>
              <w:spacing w:after="0"/>
              <w:ind w:left="426" w:hanging="284"/>
              <w:jc w:val="left"/>
              <w:rPr>
                <w:rFonts w:ascii="Times" w:eastAsia="Times" w:hAnsi="Times" w:cs="Times"/>
              </w:rPr>
            </w:pPr>
            <w:bookmarkStart w:id="7" w:name="_heading=h.4d34og8" w:colFirst="0" w:colLast="0"/>
            <w:bookmarkEnd w:id="7"/>
            <w:r>
              <w:rPr>
                <w:rFonts w:ascii="Times" w:eastAsia="Times" w:hAnsi="Times" w:cs="Times"/>
                <w:b/>
              </w:rPr>
              <w:t>Study enhanced sidelink operation on FR2 licensed spectrum</w:t>
            </w:r>
            <w:r>
              <w:rPr>
                <w:rFonts w:ascii="Times" w:eastAsia="Times" w:hAnsi="Times" w:cs="Times"/>
              </w:rPr>
              <w:t xml:space="preserve"> [RAN1, RAN2]</w:t>
            </w:r>
          </w:p>
          <w:p w14:paraId="382A4193" w14:textId="77777777" w:rsidR="00F52489" w:rsidRDefault="00000000">
            <w:pPr>
              <w:widowControl/>
              <w:numPr>
                <w:ilvl w:val="0"/>
                <w:numId w:val="1"/>
              </w:numPr>
              <w:spacing w:after="0"/>
              <w:ind w:left="426" w:hanging="284"/>
              <w:jc w:val="left"/>
              <w:rPr>
                <w:rFonts w:ascii="Times" w:eastAsia="Times" w:hAnsi="Times" w:cs="Times"/>
              </w:rPr>
            </w:pPr>
            <w:bookmarkStart w:id="8" w:name="_heading=h.2s8eyo1" w:colFirst="0" w:colLast="0"/>
            <w:bookmarkEnd w:id="8"/>
            <w:r>
              <w:rPr>
                <w:rFonts w:ascii="Times" w:eastAsia="Times" w:hAnsi="Times" w:cs="Times"/>
                <w:b/>
              </w:rPr>
              <w:t xml:space="preserve">Study and specify, if necessary, mechanism(s) for co-channel coexistence for LTE sidelink and NR sidelink </w:t>
            </w:r>
            <w:r>
              <w:rPr>
                <w:rFonts w:ascii="Times" w:eastAsia="Times" w:hAnsi="Times" w:cs="Times"/>
              </w:rPr>
              <w:t xml:space="preserve">including performance, necessity, feasibility, and potential specification impact if any </w:t>
            </w:r>
            <w:r>
              <w:rPr>
                <w:rFonts w:ascii="Times" w:eastAsia="Times" w:hAnsi="Times" w:cs="Times"/>
                <w:b/>
              </w:rPr>
              <w:t>[RAN1, RAN2, RAN4]</w:t>
            </w:r>
          </w:p>
          <w:p w14:paraId="48227F71" w14:textId="77777777" w:rsidR="00F52489" w:rsidRDefault="00000000">
            <w:pPr>
              <w:widowControl/>
              <w:numPr>
                <w:ilvl w:val="0"/>
                <w:numId w:val="1"/>
              </w:numPr>
              <w:spacing w:after="0"/>
              <w:ind w:left="426" w:hanging="284"/>
              <w:jc w:val="left"/>
              <w:rPr>
                <w:rFonts w:ascii="Times" w:eastAsia="Times" w:hAnsi="Times" w:cs="Times"/>
              </w:rPr>
            </w:pPr>
            <w:r>
              <w:rPr>
                <w:rFonts w:ascii="Times" w:eastAsia="Times" w:hAnsi="Times" w:cs="Times"/>
                <w:b/>
              </w:rPr>
              <w:t>UE Tx and Rx RF requirement for supporting new features introduced in this WI</w:t>
            </w:r>
            <w:r>
              <w:rPr>
                <w:rFonts w:ascii="Times" w:eastAsia="Times" w:hAnsi="Times" w:cs="Times"/>
              </w:rPr>
              <w:t xml:space="preserve">, sidelink frequency bands for single-carrier operation and frequency band combinations for carrier aggregation operation </w:t>
            </w:r>
            <w:r>
              <w:rPr>
                <w:rFonts w:ascii="Times" w:eastAsia="Times" w:hAnsi="Times" w:cs="Times"/>
                <w:b/>
              </w:rPr>
              <w:t>[RAN4]</w:t>
            </w:r>
          </w:p>
          <w:p w14:paraId="6E7FE020" w14:textId="77777777" w:rsidR="00F52489" w:rsidRDefault="00000000">
            <w:pPr>
              <w:widowControl/>
              <w:numPr>
                <w:ilvl w:val="0"/>
                <w:numId w:val="1"/>
              </w:numPr>
              <w:spacing w:after="0"/>
              <w:ind w:left="426" w:hanging="284"/>
              <w:jc w:val="left"/>
              <w:rPr>
                <w:rFonts w:ascii="Times" w:eastAsia="Times" w:hAnsi="Times" w:cs="Times"/>
              </w:rPr>
            </w:pPr>
            <w:r>
              <w:rPr>
                <w:rFonts w:ascii="Times" w:eastAsia="Times" w:hAnsi="Times" w:cs="Times"/>
              </w:rPr>
              <w:t>UE RRM core requirement for the new features introduced in this WI [RAN4]</w:t>
            </w:r>
          </w:p>
          <w:p w14:paraId="3AC60FCE" w14:textId="77777777" w:rsidR="00F52489" w:rsidRDefault="00F52489">
            <w:pPr>
              <w:spacing w:after="0"/>
            </w:pPr>
          </w:p>
        </w:tc>
      </w:tr>
    </w:tbl>
    <w:p w14:paraId="0618A718" w14:textId="77777777" w:rsidR="00F52489" w:rsidRDefault="00000000">
      <w:pPr>
        <w:spacing w:after="0"/>
      </w:pPr>
      <w:r>
        <w:lastRenderedPageBreak/>
        <w:t xml:space="preserve"> </w:t>
      </w:r>
    </w:p>
    <w:p w14:paraId="7ACEF4CB" w14:textId="77777777" w:rsidR="00F52489" w:rsidRDefault="00000000">
      <w:r>
        <w:t>In this paper, we propose the detailed MPR/A-MPR simulation assumptions and RF parameters and propose required RF requirements to support SL-U operation in unlicensed bands.</w:t>
      </w:r>
    </w:p>
    <w:p w14:paraId="70920EF9" w14:textId="77777777" w:rsidR="00F52489" w:rsidRDefault="00F52489">
      <w:pPr>
        <w:spacing w:after="0"/>
        <w:rPr>
          <w:rFonts w:ascii="Times" w:eastAsia="Times" w:hAnsi="Times" w:cs="Times"/>
        </w:rPr>
      </w:pPr>
    </w:p>
    <w:p w14:paraId="2E5550C8" w14:textId="77777777" w:rsidR="00F52489" w:rsidRDefault="00000000">
      <w:pPr>
        <w:pStyle w:val="1"/>
        <w:numPr>
          <w:ilvl w:val="0"/>
          <w:numId w:val="5"/>
        </w:numPr>
        <w:spacing w:before="120"/>
        <w:ind w:left="272" w:hanging="272"/>
      </w:pPr>
      <w:r>
        <w:t>Discussion on MPR simulation parameters in unlicensed bands</w:t>
      </w:r>
    </w:p>
    <w:p w14:paraId="1A08D8E8" w14:textId="60F384E9" w:rsidR="00F52489" w:rsidRDefault="00000000">
      <w:pPr>
        <w:widowControl/>
        <w:spacing w:after="0"/>
      </w:pPr>
      <w:r>
        <w:t>In the NR-U WI in rel-16, RAN4already aligned some MPR simulation assumptions with RF parameters for NR-U operation [3][4]</w:t>
      </w:r>
      <w:r w:rsidR="00A77DD0">
        <w:t>[8]</w:t>
      </w:r>
      <w:r>
        <w:t xml:space="preserve">. Also, RAN4 had some concrete simulation parameters and assumptions for SL operation [5]. Based on those WFs, we proposed the detailed MPR simulation assumptions as follows for SL-U operation in unlicensed bands. </w:t>
      </w:r>
    </w:p>
    <w:p w14:paraId="6076045C" w14:textId="77777777" w:rsidR="00F52489" w:rsidRDefault="00F52489">
      <w:pPr>
        <w:widowControl/>
        <w:spacing w:after="0"/>
        <w:jc w:val="left"/>
      </w:pPr>
    </w:p>
    <w:p w14:paraId="2A923396" w14:textId="7B97A1E7" w:rsidR="00F52489" w:rsidRDefault="00000000">
      <w:pPr>
        <w:widowControl/>
        <w:numPr>
          <w:ilvl w:val="0"/>
          <w:numId w:val="4"/>
        </w:numPr>
        <w:pBdr>
          <w:top w:val="nil"/>
          <w:left w:val="nil"/>
          <w:bottom w:val="nil"/>
          <w:right w:val="nil"/>
          <w:between w:val="nil"/>
        </w:pBdr>
        <w:spacing w:after="0"/>
        <w:jc w:val="left"/>
      </w:pPr>
      <w:r>
        <w:rPr>
          <w:color w:val="000000"/>
        </w:rPr>
        <w:t>Basic RF parameters for MPR of single carrier SL-U UE [3][4]</w:t>
      </w:r>
      <w:r w:rsidR="00A77DD0">
        <w:rPr>
          <w:color w:val="000000"/>
        </w:rPr>
        <w:t>[5][8]</w:t>
      </w:r>
    </w:p>
    <w:p w14:paraId="45D1C620" w14:textId="225592D4" w:rsidR="00F52489" w:rsidRDefault="00000000">
      <w:pPr>
        <w:widowControl/>
        <w:numPr>
          <w:ilvl w:val="1"/>
          <w:numId w:val="4"/>
        </w:numPr>
        <w:pBdr>
          <w:top w:val="nil"/>
          <w:left w:val="nil"/>
          <w:bottom w:val="nil"/>
          <w:right w:val="nil"/>
          <w:between w:val="nil"/>
        </w:pBdr>
        <w:spacing w:after="0"/>
        <w:jc w:val="left"/>
      </w:pPr>
      <w:r>
        <w:rPr>
          <w:color w:val="000000"/>
        </w:rPr>
        <w:t>Waveforms: CP-OFDM</w:t>
      </w:r>
      <w:r w:rsidR="00BD6250">
        <w:rPr>
          <w:color w:val="000000"/>
        </w:rPr>
        <w:t xml:space="preserve"> for SL-U</w:t>
      </w:r>
    </w:p>
    <w:p w14:paraId="1BAAA227" w14:textId="77777777" w:rsidR="00F52489" w:rsidRDefault="00000000">
      <w:pPr>
        <w:widowControl/>
        <w:numPr>
          <w:ilvl w:val="1"/>
          <w:numId w:val="4"/>
        </w:numPr>
        <w:pBdr>
          <w:top w:val="nil"/>
          <w:left w:val="nil"/>
          <w:bottom w:val="nil"/>
          <w:right w:val="nil"/>
          <w:between w:val="nil"/>
        </w:pBdr>
        <w:spacing w:after="0"/>
        <w:jc w:val="left"/>
      </w:pPr>
      <w:r>
        <w:rPr>
          <w:color w:val="000000"/>
        </w:rPr>
        <w:t xml:space="preserve">Supported CBW: 20/40/60/80/100MHz. 10MHz CW only used for CA as Scell </w:t>
      </w:r>
      <w:proofErr w:type="gramStart"/>
      <w:r>
        <w:rPr>
          <w:color w:val="000000"/>
        </w:rPr>
        <w:t>part</w:t>
      </w:r>
      <w:proofErr w:type="gramEnd"/>
    </w:p>
    <w:p w14:paraId="7C1B748D" w14:textId="77777777" w:rsidR="00F52489" w:rsidRDefault="00000000">
      <w:pPr>
        <w:widowControl/>
        <w:numPr>
          <w:ilvl w:val="1"/>
          <w:numId w:val="4"/>
        </w:numPr>
        <w:pBdr>
          <w:top w:val="nil"/>
          <w:left w:val="nil"/>
          <w:bottom w:val="nil"/>
          <w:right w:val="nil"/>
          <w:between w:val="nil"/>
        </w:pBdr>
        <w:spacing w:after="0"/>
        <w:jc w:val="left"/>
      </w:pPr>
      <w:r>
        <w:rPr>
          <w:color w:val="000000"/>
        </w:rPr>
        <w:t>Modulation: QPSK/16-QAM/64-QAM/256-QAM</w:t>
      </w:r>
    </w:p>
    <w:p w14:paraId="445342E1" w14:textId="0A3DC123" w:rsidR="00F52489" w:rsidRPr="00AE016E" w:rsidRDefault="00000000">
      <w:pPr>
        <w:widowControl/>
        <w:numPr>
          <w:ilvl w:val="1"/>
          <w:numId w:val="4"/>
        </w:numPr>
        <w:pBdr>
          <w:top w:val="nil"/>
          <w:left w:val="nil"/>
          <w:bottom w:val="nil"/>
          <w:right w:val="nil"/>
          <w:between w:val="nil"/>
        </w:pBdr>
        <w:spacing w:after="0"/>
        <w:jc w:val="left"/>
      </w:pPr>
      <w:r>
        <w:rPr>
          <w:color w:val="000000"/>
        </w:rPr>
        <w:t>SCS: 15/30/60kHz</w:t>
      </w:r>
    </w:p>
    <w:p w14:paraId="7E271149" w14:textId="1C65CD9B" w:rsidR="00AE016E" w:rsidRDefault="00AE016E">
      <w:pPr>
        <w:widowControl/>
        <w:numPr>
          <w:ilvl w:val="1"/>
          <w:numId w:val="4"/>
        </w:numPr>
        <w:pBdr>
          <w:top w:val="nil"/>
          <w:left w:val="nil"/>
          <w:bottom w:val="nil"/>
          <w:right w:val="nil"/>
          <w:between w:val="nil"/>
        </w:pBdr>
        <w:spacing w:after="0"/>
        <w:jc w:val="left"/>
      </w:pPr>
      <w:r>
        <w:rPr>
          <w:color w:val="000000"/>
        </w:rPr>
        <w:t>Post PA losses of 4dB</w:t>
      </w:r>
    </w:p>
    <w:p w14:paraId="49397CBE" w14:textId="11100E72" w:rsidR="00F52489" w:rsidRDefault="00000000">
      <w:pPr>
        <w:widowControl/>
        <w:numPr>
          <w:ilvl w:val="1"/>
          <w:numId w:val="4"/>
        </w:numPr>
        <w:pBdr>
          <w:top w:val="nil"/>
          <w:left w:val="nil"/>
          <w:bottom w:val="nil"/>
          <w:right w:val="nil"/>
          <w:between w:val="nil"/>
        </w:pBdr>
        <w:spacing w:after="0"/>
        <w:jc w:val="left"/>
      </w:pPr>
      <w:r>
        <w:rPr>
          <w:color w:val="000000"/>
        </w:rPr>
        <w:t>Carrier leakage: 2</w:t>
      </w:r>
      <w:r w:rsidR="006758F4">
        <w:rPr>
          <w:color w:val="000000"/>
        </w:rPr>
        <w:t>5</w:t>
      </w:r>
      <w:r>
        <w:rPr>
          <w:color w:val="000000"/>
        </w:rPr>
        <w:t>dBc</w:t>
      </w:r>
    </w:p>
    <w:p w14:paraId="3D73580B" w14:textId="2285FEF2" w:rsidR="00F52489" w:rsidRPr="006758F4" w:rsidRDefault="00000000">
      <w:pPr>
        <w:widowControl/>
        <w:numPr>
          <w:ilvl w:val="1"/>
          <w:numId w:val="4"/>
        </w:numPr>
        <w:pBdr>
          <w:top w:val="nil"/>
          <w:left w:val="nil"/>
          <w:bottom w:val="nil"/>
          <w:right w:val="nil"/>
          <w:between w:val="nil"/>
        </w:pBdr>
        <w:spacing w:after="0"/>
        <w:jc w:val="left"/>
      </w:pPr>
      <w:r>
        <w:rPr>
          <w:color w:val="000000"/>
        </w:rPr>
        <w:t>I/Q Image: 2</w:t>
      </w:r>
      <w:r w:rsidR="006758F4">
        <w:rPr>
          <w:color w:val="000000"/>
        </w:rPr>
        <w:t>5</w:t>
      </w:r>
      <w:r>
        <w:rPr>
          <w:color w:val="000000"/>
        </w:rPr>
        <w:t>dBc</w:t>
      </w:r>
    </w:p>
    <w:p w14:paraId="0992457C" w14:textId="3036B0DE" w:rsidR="006758F4" w:rsidRDefault="006758F4">
      <w:pPr>
        <w:widowControl/>
        <w:numPr>
          <w:ilvl w:val="1"/>
          <w:numId w:val="4"/>
        </w:numPr>
        <w:pBdr>
          <w:top w:val="nil"/>
          <w:left w:val="nil"/>
          <w:bottom w:val="nil"/>
          <w:right w:val="nil"/>
          <w:between w:val="nil"/>
        </w:pBdr>
        <w:spacing w:after="0"/>
        <w:jc w:val="left"/>
      </w:pPr>
      <w:r>
        <w:rPr>
          <w:color w:val="000000"/>
        </w:rPr>
        <w:t>C-IMD: 45dBc or 60dBc</w:t>
      </w:r>
    </w:p>
    <w:p w14:paraId="0D0581BB" w14:textId="77777777" w:rsidR="00F52489" w:rsidRDefault="00000000">
      <w:pPr>
        <w:widowControl/>
        <w:numPr>
          <w:ilvl w:val="1"/>
          <w:numId w:val="4"/>
        </w:numPr>
        <w:pBdr>
          <w:top w:val="nil"/>
          <w:left w:val="nil"/>
          <w:bottom w:val="nil"/>
          <w:right w:val="nil"/>
          <w:between w:val="nil"/>
        </w:pBdr>
        <w:spacing w:after="0"/>
        <w:jc w:val="left"/>
      </w:pPr>
      <w:r>
        <w:rPr>
          <w:color w:val="000000"/>
        </w:rPr>
        <w:t>EVM and impairments</w:t>
      </w:r>
    </w:p>
    <w:p w14:paraId="274E8D58" w14:textId="77777777" w:rsidR="00F52489" w:rsidRDefault="00F52489">
      <w:pPr>
        <w:widowControl/>
        <w:pBdr>
          <w:top w:val="nil"/>
          <w:left w:val="nil"/>
          <w:bottom w:val="nil"/>
          <w:right w:val="nil"/>
          <w:between w:val="nil"/>
        </w:pBdr>
        <w:spacing w:after="0"/>
        <w:ind w:left="720"/>
        <w:jc w:val="left"/>
        <w:rPr>
          <w:color w:val="000000"/>
        </w:rPr>
      </w:pPr>
    </w:p>
    <w:tbl>
      <w:tblPr>
        <w:tblStyle w:val="aff3"/>
        <w:tblW w:w="683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1582"/>
        <w:gridCol w:w="1105"/>
        <w:gridCol w:w="1179"/>
        <w:gridCol w:w="1444"/>
      </w:tblGrid>
      <w:tr w:rsidR="00F52489" w14:paraId="007335D0" w14:textId="77777777">
        <w:trPr>
          <w:trHeight w:val="254"/>
          <w:jc w:val="center"/>
        </w:trPr>
        <w:tc>
          <w:tcPr>
            <w:tcW w:w="1524" w:type="dxa"/>
          </w:tcPr>
          <w:p w14:paraId="0B913B78" w14:textId="77777777" w:rsidR="00F52489" w:rsidRDefault="00000000">
            <w:pPr>
              <w:pBdr>
                <w:top w:val="nil"/>
                <w:left w:val="nil"/>
                <w:bottom w:val="nil"/>
                <w:right w:val="nil"/>
                <w:between w:val="nil"/>
              </w:pBdr>
              <w:spacing w:after="0"/>
              <w:rPr>
                <w:color w:val="000000"/>
                <w:sz w:val="20"/>
                <w:szCs w:val="20"/>
              </w:rPr>
            </w:pPr>
            <w:r>
              <w:rPr>
                <w:b/>
                <w:color w:val="000000"/>
                <w:sz w:val="20"/>
                <w:szCs w:val="20"/>
              </w:rPr>
              <w:t>Modulation</w:t>
            </w:r>
          </w:p>
        </w:tc>
        <w:tc>
          <w:tcPr>
            <w:tcW w:w="1582" w:type="dxa"/>
          </w:tcPr>
          <w:p w14:paraId="5DA31D8B" w14:textId="77777777" w:rsidR="00F52489" w:rsidRDefault="00000000">
            <w:pPr>
              <w:pBdr>
                <w:top w:val="nil"/>
                <w:left w:val="nil"/>
                <w:bottom w:val="nil"/>
                <w:right w:val="nil"/>
                <w:between w:val="nil"/>
              </w:pBdr>
              <w:spacing w:after="0"/>
              <w:rPr>
                <w:color w:val="000000"/>
                <w:sz w:val="20"/>
                <w:szCs w:val="20"/>
              </w:rPr>
            </w:pPr>
            <w:r>
              <w:rPr>
                <w:b/>
                <w:color w:val="000000"/>
                <w:sz w:val="20"/>
                <w:szCs w:val="20"/>
              </w:rPr>
              <w:t>SystemEVM</w:t>
            </w:r>
          </w:p>
        </w:tc>
        <w:tc>
          <w:tcPr>
            <w:tcW w:w="1105" w:type="dxa"/>
          </w:tcPr>
          <w:p w14:paraId="55B14B1D" w14:textId="77777777" w:rsidR="00F52489" w:rsidRDefault="00000000">
            <w:pPr>
              <w:pBdr>
                <w:top w:val="nil"/>
                <w:left w:val="nil"/>
                <w:bottom w:val="nil"/>
                <w:right w:val="nil"/>
                <w:between w:val="nil"/>
              </w:pBdr>
              <w:spacing w:after="0"/>
              <w:rPr>
                <w:color w:val="000000"/>
                <w:sz w:val="20"/>
                <w:szCs w:val="20"/>
              </w:rPr>
            </w:pPr>
            <w:r>
              <w:rPr>
                <w:b/>
                <w:color w:val="000000"/>
                <w:sz w:val="20"/>
                <w:szCs w:val="20"/>
              </w:rPr>
              <w:t>PA only</w:t>
            </w:r>
          </w:p>
        </w:tc>
        <w:tc>
          <w:tcPr>
            <w:tcW w:w="1179" w:type="dxa"/>
          </w:tcPr>
          <w:p w14:paraId="0D9B8DC7" w14:textId="77777777" w:rsidR="00F52489" w:rsidRDefault="00000000">
            <w:pPr>
              <w:pBdr>
                <w:top w:val="nil"/>
                <w:left w:val="nil"/>
                <w:bottom w:val="nil"/>
                <w:right w:val="nil"/>
                <w:between w:val="nil"/>
              </w:pBdr>
              <w:spacing w:after="0"/>
              <w:rPr>
                <w:color w:val="000000"/>
                <w:sz w:val="20"/>
                <w:szCs w:val="20"/>
              </w:rPr>
            </w:pPr>
            <w:r>
              <w:rPr>
                <w:b/>
                <w:color w:val="000000"/>
                <w:sz w:val="20"/>
                <w:szCs w:val="20"/>
              </w:rPr>
              <w:t>Image</w:t>
            </w:r>
          </w:p>
        </w:tc>
        <w:tc>
          <w:tcPr>
            <w:tcW w:w="1444" w:type="dxa"/>
          </w:tcPr>
          <w:p w14:paraId="239AB089" w14:textId="77777777" w:rsidR="00F52489" w:rsidRDefault="00000000">
            <w:pPr>
              <w:pBdr>
                <w:top w:val="nil"/>
                <w:left w:val="nil"/>
                <w:bottom w:val="nil"/>
                <w:right w:val="nil"/>
                <w:between w:val="nil"/>
              </w:pBdr>
              <w:spacing w:after="0"/>
              <w:rPr>
                <w:color w:val="000000"/>
                <w:sz w:val="20"/>
                <w:szCs w:val="20"/>
              </w:rPr>
            </w:pPr>
            <w:r>
              <w:rPr>
                <w:b/>
                <w:color w:val="000000"/>
                <w:sz w:val="20"/>
                <w:szCs w:val="20"/>
              </w:rPr>
              <w:t>PA+image</w:t>
            </w:r>
          </w:p>
        </w:tc>
      </w:tr>
      <w:tr w:rsidR="00F52489" w14:paraId="15870A22" w14:textId="77777777">
        <w:trPr>
          <w:trHeight w:val="254"/>
          <w:jc w:val="center"/>
        </w:trPr>
        <w:tc>
          <w:tcPr>
            <w:tcW w:w="1524" w:type="dxa"/>
          </w:tcPr>
          <w:p w14:paraId="5EE42F52" w14:textId="77777777" w:rsidR="00F52489" w:rsidRDefault="00000000">
            <w:pPr>
              <w:pBdr>
                <w:top w:val="nil"/>
                <w:left w:val="nil"/>
                <w:bottom w:val="nil"/>
                <w:right w:val="nil"/>
                <w:between w:val="nil"/>
              </w:pBdr>
              <w:spacing w:after="0"/>
              <w:rPr>
                <w:color w:val="000000"/>
                <w:sz w:val="20"/>
                <w:szCs w:val="20"/>
              </w:rPr>
            </w:pPr>
            <w:r>
              <w:rPr>
                <w:color w:val="000000"/>
                <w:sz w:val="20"/>
                <w:szCs w:val="20"/>
              </w:rPr>
              <w:t>QPSK</w:t>
            </w:r>
          </w:p>
        </w:tc>
        <w:tc>
          <w:tcPr>
            <w:tcW w:w="1582" w:type="dxa"/>
          </w:tcPr>
          <w:p w14:paraId="72F856EC"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17.5%</w:t>
            </w:r>
          </w:p>
        </w:tc>
        <w:tc>
          <w:tcPr>
            <w:tcW w:w="1105" w:type="dxa"/>
          </w:tcPr>
          <w:p w14:paraId="3C2B83E3"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w:t>
            </w:r>
            <w:proofErr w:type="gramStart"/>
            <w:r>
              <w:rPr>
                <w:color w:val="000000"/>
                <w:sz w:val="20"/>
                <w:szCs w:val="20"/>
              </w:rPr>
              <w:t>10]%</w:t>
            </w:r>
            <w:proofErr w:type="gramEnd"/>
          </w:p>
        </w:tc>
        <w:tc>
          <w:tcPr>
            <w:tcW w:w="1179" w:type="dxa"/>
          </w:tcPr>
          <w:p w14:paraId="6C6F6185" w14:textId="77777777" w:rsidR="00F52489" w:rsidRDefault="00000000">
            <w:pPr>
              <w:pBdr>
                <w:top w:val="nil"/>
                <w:left w:val="nil"/>
                <w:bottom w:val="nil"/>
                <w:right w:val="nil"/>
                <w:between w:val="nil"/>
              </w:pBdr>
              <w:spacing w:after="0"/>
              <w:rPr>
                <w:color w:val="000000"/>
                <w:sz w:val="20"/>
                <w:szCs w:val="20"/>
              </w:rPr>
            </w:pPr>
            <w:r>
              <w:rPr>
                <w:color w:val="000000"/>
                <w:sz w:val="20"/>
                <w:szCs w:val="20"/>
              </w:rPr>
              <w:t>28dB</w:t>
            </w:r>
          </w:p>
        </w:tc>
        <w:tc>
          <w:tcPr>
            <w:tcW w:w="1444" w:type="dxa"/>
          </w:tcPr>
          <w:p w14:paraId="07FD2527" w14:textId="77777777" w:rsidR="00F52489" w:rsidRDefault="00000000">
            <w:pPr>
              <w:pBdr>
                <w:top w:val="nil"/>
                <w:left w:val="nil"/>
                <w:bottom w:val="nil"/>
                <w:right w:val="nil"/>
                <w:between w:val="nil"/>
              </w:pBdr>
              <w:spacing w:after="0"/>
              <w:rPr>
                <w:color w:val="000000"/>
                <w:sz w:val="20"/>
                <w:szCs w:val="20"/>
              </w:rPr>
            </w:pPr>
            <w:r>
              <w:rPr>
                <w:color w:val="000000"/>
                <w:sz w:val="20"/>
                <w:szCs w:val="20"/>
              </w:rPr>
              <w:t>10.0%</w:t>
            </w:r>
          </w:p>
        </w:tc>
      </w:tr>
      <w:tr w:rsidR="00F52489" w14:paraId="3EE43BDE" w14:textId="77777777">
        <w:trPr>
          <w:trHeight w:val="254"/>
          <w:jc w:val="center"/>
        </w:trPr>
        <w:tc>
          <w:tcPr>
            <w:tcW w:w="1524" w:type="dxa"/>
          </w:tcPr>
          <w:p w14:paraId="789C8055" w14:textId="77777777" w:rsidR="00F52489" w:rsidRDefault="00000000">
            <w:pPr>
              <w:pBdr>
                <w:top w:val="nil"/>
                <w:left w:val="nil"/>
                <w:bottom w:val="nil"/>
                <w:right w:val="nil"/>
                <w:between w:val="nil"/>
              </w:pBdr>
              <w:spacing w:after="0"/>
              <w:rPr>
                <w:color w:val="000000"/>
                <w:sz w:val="20"/>
                <w:szCs w:val="20"/>
              </w:rPr>
            </w:pPr>
            <w:r>
              <w:rPr>
                <w:color w:val="000000"/>
                <w:sz w:val="20"/>
                <w:szCs w:val="20"/>
              </w:rPr>
              <w:t>16QAM</w:t>
            </w:r>
          </w:p>
        </w:tc>
        <w:tc>
          <w:tcPr>
            <w:tcW w:w="1582" w:type="dxa"/>
          </w:tcPr>
          <w:p w14:paraId="26F42FBF"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12.5%</w:t>
            </w:r>
          </w:p>
        </w:tc>
        <w:tc>
          <w:tcPr>
            <w:tcW w:w="1105" w:type="dxa"/>
          </w:tcPr>
          <w:p w14:paraId="00D87766"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8%</w:t>
            </w:r>
          </w:p>
        </w:tc>
        <w:tc>
          <w:tcPr>
            <w:tcW w:w="1179" w:type="dxa"/>
          </w:tcPr>
          <w:p w14:paraId="0B6942B3" w14:textId="77777777" w:rsidR="00F52489" w:rsidRDefault="00000000">
            <w:pPr>
              <w:pBdr>
                <w:top w:val="nil"/>
                <w:left w:val="nil"/>
                <w:bottom w:val="nil"/>
                <w:right w:val="nil"/>
                <w:between w:val="nil"/>
              </w:pBdr>
              <w:spacing w:after="0"/>
              <w:rPr>
                <w:color w:val="000000"/>
                <w:sz w:val="20"/>
                <w:szCs w:val="20"/>
              </w:rPr>
            </w:pPr>
            <w:r>
              <w:rPr>
                <w:color w:val="000000"/>
                <w:sz w:val="20"/>
                <w:szCs w:val="20"/>
              </w:rPr>
              <w:t>28dB</w:t>
            </w:r>
          </w:p>
        </w:tc>
        <w:tc>
          <w:tcPr>
            <w:tcW w:w="1444" w:type="dxa"/>
          </w:tcPr>
          <w:p w14:paraId="60307ACF" w14:textId="77777777" w:rsidR="00F52489" w:rsidRDefault="00000000">
            <w:pPr>
              <w:pBdr>
                <w:top w:val="nil"/>
                <w:left w:val="nil"/>
                <w:bottom w:val="nil"/>
                <w:right w:val="nil"/>
                <w:between w:val="nil"/>
              </w:pBdr>
              <w:spacing w:after="0"/>
              <w:rPr>
                <w:color w:val="000000"/>
                <w:sz w:val="20"/>
                <w:szCs w:val="20"/>
              </w:rPr>
            </w:pPr>
            <w:r>
              <w:rPr>
                <w:color w:val="000000"/>
                <w:sz w:val="20"/>
                <w:szCs w:val="20"/>
              </w:rPr>
              <w:t>8.0%</w:t>
            </w:r>
          </w:p>
        </w:tc>
      </w:tr>
      <w:tr w:rsidR="00F52489" w14:paraId="7F294716" w14:textId="77777777">
        <w:trPr>
          <w:trHeight w:val="254"/>
          <w:jc w:val="center"/>
        </w:trPr>
        <w:tc>
          <w:tcPr>
            <w:tcW w:w="1524" w:type="dxa"/>
          </w:tcPr>
          <w:p w14:paraId="54D97B94" w14:textId="77777777" w:rsidR="00F52489" w:rsidRDefault="00000000">
            <w:pPr>
              <w:pBdr>
                <w:top w:val="nil"/>
                <w:left w:val="nil"/>
                <w:bottom w:val="nil"/>
                <w:right w:val="nil"/>
                <w:between w:val="nil"/>
              </w:pBdr>
              <w:spacing w:after="0"/>
              <w:rPr>
                <w:color w:val="000000"/>
                <w:sz w:val="20"/>
                <w:szCs w:val="20"/>
              </w:rPr>
            </w:pPr>
            <w:r>
              <w:rPr>
                <w:color w:val="000000"/>
                <w:sz w:val="20"/>
                <w:szCs w:val="20"/>
              </w:rPr>
              <w:t>64QAM</w:t>
            </w:r>
          </w:p>
        </w:tc>
        <w:tc>
          <w:tcPr>
            <w:tcW w:w="1582" w:type="dxa"/>
          </w:tcPr>
          <w:p w14:paraId="3666C4FE"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8%</w:t>
            </w:r>
          </w:p>
        </w:tc>
        <w:tc>
          <w:tcPr>
            <w:tcW w:w="1105" w:type="dxa"/>
          </w:tcPr>
          <w:p w14:paraId="1FA01127"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4%</w:t>
            </w:r>
          </w:p>
        </w:tc>
        <w:tc>
          <w:tcPr>
            <w:tcW w:w="1179" w:type="dxa"/>
          </w:tcPr>
          <w:p w14:paraId="5ABEC694" w14:textId="77777777" w:rsidR="00F52489" w:rsidRDefault="00000000">
            <w:pPr>
              <w:pBdr>
                <w:top w:val="nil"/>
                <w:left w:val="nil"/>
                <w:bottom w:val="nil"/>
                <w:right w:val="nil"/>
                <w:between w:val="nil"/>
              </w:pBdr>
              <w:spacing w:after="0"/>
              <w:rPr>
                <w:color w:val="000000"/>
                <w:sz w:val="20"/>
                <w:szCs w:val="20"/>
              </w:rPr>
            </w:pPr>
            <w:r>
              <w:rPr>
                <w:color w:val="000000"/>
                <w:sz w:val="20"/>
                <w:szCs w:val="20"/>
              </w:rPr>
              <w:t>28dB</w:t>
            </w:r>
          </w:p>
        </w:tc>
        <w:tc>
          <w:tcPr>
            <w:tcW w:w="1444" w:type="dxa"/>
          </w:tcPr>
          <w:p w14:paraId="63D50B8F" w14:textId="77777777" w:rsidR="00F52489" w:rsidRDefault="00000000">
            <w:pPr>
              <w:pBdr>
                <w:top w:val="nil"/>
                <w:left w:val="nil"/>
                <w:bottom w:val="nil"/>
                <w:right w:val="nil"/>
                <w:between w:val="nil"/>
              </w:pBdr>
              <w:spacing w:after="0"/>
              <w:rPr>
                <w:color w:val="000000"/>
                <w:sz w:val="20"/>
                <w:szCs w:val="20"/>
              </w:rPr>
            </w:pPr>
            <w:r>
              <w:rPr>
                <w:color w:val="000000"/>
                <w:sz w:val="20"/>
                <w:szCs w:val="20"/>
              </w:rPr>
              <w:t>5.65%</w:t>
            </w:r>
          </w:p>
        </w:tc>
      </w:tr>
      <w:tr w:rsidR="00F52489" w14:paraId="5C37D145" w14:textId="77777777">
        <w:trPr>
          <w:trHeight w:val="254"/>
          <w:jc w:val="center"/>
        </w:trPr>
        <w:tc>
          <w:tcPr>
            <w:tcW w:w="1524" w:type="dxa"/>
          </w:tcPr>
          <w:p w14:paraId="6D990489" w14:textId="77777777" w:rsidR="00F52489" w:rsidRDefault="00000000">
            <w:pPr>
              <w:pBdr>
                <w:top w:val="nil"/>
                <w:left w:val="nil"/>
                <w:bottom w:val="nil"/>
                <w:right w:val="nil"/>
                <w:between w:val="nil"/>
              </w:pBdr>
              <w:spacing w:after="0"/>
              <w:rPr>
                <w:color w:val="000000"/>
                <w:sz w:val="20"/>
                <w:szCs w:val="20"/>
              </w:rPr>
            </w:pPr>
            <w:r>
              <w:rPr>
                <w:color w:val="000000"/>
                <w:sz w:val="20"/>
                <w:szCs w:val="20"/>
              </w:rPr>
              <w:t>256QAM</w:t>
            </w:r>
          </w:p>
        </w:tc>
        <w:tc>
          <w:tcPr>
            <w:tcW w:w="1582" w:type="dxa"/>
          </w:tcPr>
          <w:p w14:paraId="224FEB31"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3.5%</w:t>
            </w:r>
          </w:p>
        </w:tc>
        <w:tc>
          <w:tcPr>
            <w:tcW w:w="1105" w:type="dxa"/>
          </w:tcPr>
          <w:p w14:paraId="6EFE6E2C" w14:textId="77777777" w:rsidR="00F52489" w:rsidRDefault="00000000">
            <w:pPr>
              <w:pBdr>
                <w:top w:val="nil"/>
                <w:left w:val="nil"/>
                <w:bottom w:val="nil"/>
                <w:right w:val="nil"/>
                <w:between w:val="nil"/>
              </w:pBdr>
              <w:spacing w:after="0"/>
              <w:jc w:val="left"/>
              <w:rPr>
                <w:color w:val="000000"/>
                <w:sz w:val="20"/>
                <w:szCs w:val="20"/>
              </w:rPr>
            </w:pPr>
            <w:r>
              <w:rPr>
                <w:color w:val="000000"/>
                <w:sz w:val="20"/>
                <w:szCs w:val="20"/>
              </w:rPr>
              <w:t>1.8%</w:t>
            </w:r>
          </w:p>
        </w:tc>
        <w:tc>
          <w:tcPr>
            <w:tcW w:w="1179" w:type="dxa"/>
          </w:tcPr>
          <w:p w14:paraId="31D570BE" w14:textId="77777777" w:rsidR="00F52489" w:rsidRDefault="00000000">
            <w:pPr>
              <w:pBdr>
                <w:top w:val="nil"/>
                <w:left w:val="nil"/>
                <w:bottom w:val="nil"/>
                <w:right w:val="nil"/>
                <w:between w:val="nil"/>
              </w:pBdr>
              <w:spacing w:after="0"/>
              <w:rPr>
                <w:color w:val="000000"/>
                <w:sz w:val="20"/>
                <w:szCs w:val="20"/>
              </w:rPr>
            </w:pPr>
            <w:r>
              <w:rPr>
                <w:color w:val="000000"/>
                <w:sz w:val="20"/>
                <w:szCs w:val="20"/>
              </w:rPr>
              <w:t>34dB</w:t>
            </w:r>
          </w:p>
        </w:tc>
        <w:tc>
          <w:tcPr>
            <w:tcW w:w="1444" w:type="dxa"/>
          </w:tcPr>
          <w:p w14:paraId="6452EC15" w14:textId="77777777" w:rsidR="00F52489" w:rsidRDefault="00000000">
            <w:pPr>
              <w:pBdr>
                <w:top w:val="nil"/>
                <w:left w:val="nil"/>
                <w:bottom w:val="nil"/>
                <w:right w:val="nil"/>
                <w:between w:val="nil"/>
              </w:pBdr>
              <w:spacing w:after="0"/>
              <w:rPr>
                <w:color w:val="000000"/>
                <w:sz w:val="20"/>
                <w:szCs w:val="20"/>
              </w:rPr>
            </w:pPr>
            <w:r>
              <w:rPr>
                <w:color w:val="000000"/>
                <w:sz w:val="20"/>
                <w:szCs w:val="20"/>
              </w:rPr>
              <w:t>2.69%</w:t>
            </w:r>
          </w:p>
        </w:tc>
      </w:tr>
    </w:tbl>
    <w:p w14:paraId="646436A1" w14:textId="77777777" w:rsidR="00F52489" w:rsidRDefault="00F52489">
      <w:pPr>
        <w:widowControl/>
        <w:pBdr>
          <w:top w:val="nil"/>
          <w:left w:val="nil"/>
          <w:bottom w:val="nil"/>
          <w:right w:val="nil"/>
          <w:between w:val="nil"/>
        </w:pBdr>
        <w:spacing w:after="0"/>
        <w:ind w:left="720"/>
        <w:jc w:val="left"/>
        <w:rPr>
          <w:color w:val="000000"/>
        </w:rPr>
      </w:pPr>
    </w:p>
    <w:p w14:paraId="7390B446" w14:textId="77777777" w:rsidR="00F52489" w:rsidRDefault="00000000">
      <w:pPr>
        <w:widowControl/>
        <w:numPr>
          <w:ilvl w:val="1"/>
          <w:numId w:val="4"/>
        </w:numPr>
        <w:pBdr>
          <w:top w:val="nil"/>
          <w:left w:val="nil"/>
          <w:bottom w:val="nil"/>
          <w:right w:val="nil"/>
          <w:between w:val="nil"/>
        </w:pBdr>
        <w:spacing w:after="0"/>
        <w:jc w:val="left"/>
      </w:pPr>
      <w:r>
        <w:rPr>
          <w:color w:val="000000"/>
        </w:rPr>
        <w:t>IBE and impairment exceptions are same as NR-U</w:t>
      </w:r>
    </w:p>
    <w:p w14:paraId="1160CFF4" w14:textId="77777777" w:rsidR="00F52489" w:rsidRDefault="00000000">
      <w:pPr>
        <w:widowControl/>
        <w:numPr>
          <w:ilvl w:val="2"/>
          <w:numId w:val="4"/>
        </w:numPr>
        <w:pBdr>
          <w:top w:val="nil"/>
          <w:left w:val="nil"/>
          <w:bottom w:val="nil"/>
          <w:right w:val="nil"/>
          <w:between w:val="nil"/>
        </w:pBdr>
        <w:spacing w:after="0"/>
        <w:jc w:val="left"/>
      </w:pPr>
      <w:r>
        <w:rPr>
          <w:color w:val="000000"/>
        </w:rPr>
        <w:t>Reuse IBE mask from eLAA</w:t>
      </w:r>
    </w:p>
    <w:p w14:paraId="4A16741E" w14:textId="77777777" w:rsidR="00F52489" w:rsidRDefault="00000000">
      <w:pPr>
        <w:widowControl/>
        <w:numPr>
          <w:ilvl w:val="2"/>
          <w:numId w:val="4"/>
        </w:numPr>
        <w:pBdr>
          <w:top w:val="nil"/>
          <w:left w:val="nil"/>
          <w:bottom w:val="nil"/>
          <w:right w:val="nil"/>
          <w:between w:val="nil"/>
        </w:pBdr>
        <w:spacing w:after="0"/>
        <w:jc w:val="left"/>
      </w:pPr>
      <w:r>
        <w:rPr>
          <w:color w:val="000000"/>
        </w:rPr>
        <w:t xml:space="preserve">Image/carrier exceptions position and specific test according to </w:t>
      </w:r>
      <w:proofErr w:type="gramStart"/>
      <w:r>
        <w:rPr>
          <w:color w:val="000000"/>
        </w:rPr>
        <w:t>interlaces</w:t>
      </w:r>
      <w:proofErr w:type="gramEnd"/>
    </w:p>
    <w:p w14:paraId="5A7190BE" w14:textId="77777777" w:rsidR="00F52489" w:rsidRDefault="00000000">
      <w:pPr>
        <w:widowControl/>
        <w:numPr>
          <w:ilvl w:val="1"/>
          <w:numId w:val="4"/>
        </w:numPr>
        <w:pBdr>
          <w:top w:val="nil"/>
          <w:left w:val="nil"/>
          <w:bottom w:val="nil"/>
          <w:right w:val="nil"/>
          <w:between w:val="nil"/>
        </w:pBdr>
        <w:spacing w:after="0"/>
        <w:jc w:val="left"/>
      </w:pPr>
      <w:r>
        <w:rPr>
          <w:color w:val="000000"/>
        </w:rPr>
        <w:t>ACLR: 27dBc for both PC3/PC5 UE with NR MBW</w:t>
      </w:r>
    </w:p>
    <w:p w14:paraId="51CAADCD" w14:textId="739DCD5A" w:rsidR="00F52489" w:rsidRDefault="00000000">
      <w:pPr>
        <w:widowControl/>
        <w:numPr>
          <w:ilvl w:val="1"/>
          <w:numId w:val="4"/>
        </w:numPr>
        <w:pBdr>
          <w:top w:val="nil"/>
          <w:left w:val="nil"/>
          <w:bottom w:val="nil"/>
          <w:right w:val="nil"/>
          <w:between w:val="nil"/>
        </w:pBdr>
        <w:spacing w:after="0"/>
        <w:jc w:val="left"/>
      </w:pPr>
      <w:r>
        <w:rPr>
          <w:color w:val="000000"/>
        </w:rPr>
        <w:t xml:space="preserve">NR-U single CC and wideband operation mask as general </w:t>
      </w:r>
      <w:r w:rsidR="006758F4">
        <w:rPr>
          <w:color w:val="000000"/>
        </w:rPr>
        <w:t>requirements [</w:t>
      </w:r>
      <w:r>
        <w:rPr>
          <w:color w:val="000000"/>
        </w:rPr>
        <w:t>6] (EN 301 893).</w:t>
      </w:r>
    </w:p>
    <w:p w14:paraId="677A7713" w14:textId="77777777" w:rsidR="00F52489" w:rsidRDefault="00000000">
      <w:pPr>
        <w:widowControl/>
        <w:numPr>
          <w:ilvl w:val="1"/>
          <w:numId w:val="4"/>
        </w:numPr>
        <w:pBdr>
          <w:top w:val="nil"/>
          <w:left w:val="nil"/>
          <w:bottom w:val="nil"/>
          <w:right w:val="nil"/>
          <w:between w:val="nil"/>
        </w:pBdr>
        <w:spacing w:after="0"/>
        <w:jc w:val="left"/>
      </w:pPr>
      <w:r>
        <w:rPr>
          <w:color w:val="000000"/>
        </w:rPr>
        <w:t>NR SEM does not apply.</w:t>
      </w:r>
    </w:p>
    <w:p w14:paraId="6036F96E" w14:textId="77777777" w:rsidR="00F52489" w:rsidRDefault="00000000">
      <w:pPr>
        <w:widowControl/>
        <w:numPr>
          <w:ilvl w:val="1"/>
          <w:numId w:val="4"/>
        </w:numPr>
        <w:pBdr>
          <w:top w:val="nil"/>
          <w:left w:val="nil"/>
          <w:bottom w:val="nil"/>
          <w:right w:val="nil"/>
          <w:between w:val="nil"/>
        </w:pBdr>
        <w:spacing w:after="0"/>
        <w:jc w:val="left"/>
      </w:pPr>
      <w:r>
        <w:rPr>
          <w:color w:val="000000"/>
        </w:rPr>
        <w:t xml:space="preserve">PA calibration &amp; PA configuration: </w:t>
      </w:r>
    </w:p>
    <w:p w14:paraId="380BCF85" w14:textId="48B1808E" w:rsidR="00F52489" w:rsidRDefault="00000000">
      <w:pPr>
        <w:widowControl/>
        <w:numPr>
          <w:ilvl w:val="2"/>
          <w:numId w:val="4"/>
        </w:numPr>
        <w:pBdr>
          <w:top w:val="nil"/>
          <w:left w:val="nil"/>
          <w:bottom w:val="nil"/>
          <w:right w:val="nil"/>
          <w:between w:val="nil"/>
        </w:pBdr>
        <w:spacing w:after="0"/>
        <w:jc w:val="left"/>
      </w:pPr>
      <w:r>
        <w:rPr>
          <w:color w:val="000000"/>
        </w:rPr>
        <w:t xml:space="preserve">PC3 (both single PA and dual PAs with 20+20): 1dB MPR and DFT-s-OFDM QPSK with </w:t>
      </w:r>
      <w:r w:rsidR="00AE016E">
        <w:rPr>
          <w:color w:val="000000"/>
        </w:rPr>
        <w:t>100</w:t>
      </w:r>
      <w:r>
        <w:rPr>
          <w:color w:val="000000"/>
        </w:rPr>
        <w:t>RB</w:t>
      </w:r>
      <w:r w:rsidR="00AE016E">
        <w:rPr>
          <w:color w:val="000000"/>
        </w:rPr>
        <w:t>0</w:t>
      </w:r>
      <w:r>
        <w:rPr>
          <w:color w:val="000000"/>
        </w:rPr>
        <w:t xml:space="preserve"> 20MHz waveform</w:t>
      </w:r>
      <w:r w:rsidR="00AE016E">
        <w:rPr>
          <w:color w:val="000000"/>
        </w:rPr>
        <w:t xml:space="preserve"> with 30dB ACLR</w:t>
      </w:r>
    </w:p>
    <w:p w14:paraId="382503FF" w14:textId="0CD609AC" w:rsidR="00F52489" w:rsidRDefault="00000000">
      <w:pPr>
        <w:widowControl/>
        <w:numPr>
          <w:ilvl w:val="2"/>
          <w:numId w:val="4"/>
        </w:numPr>
        <w:pBdr>
          <w:top w:val="nil"/>
          <w:left w:val="nil"/>
          <w:bottom w:val="nil"/>
          <w:right w:val="nil"/>
          <w:between w:val="nil"/>
        </w:pBdr>
        <w:spacing w:after="0"/>
        <w:jc w:val="left"/>
      </w:pPr>
      <w:r>
        <w:rPr>
          <w:color w:val="000000"/>
        </w:rPr>
        <w:t>PC5 (single PA): 1dB MPR and DFT-s-OFDM QPSK 100RB3 20MHz waveform</w:t>
      </w:r>
      <w:r w:rsidR="00AE016E">
        <w:rPr>
          <w:color w:val="000000"/>
        </w:rPr>
        <w:t xml:space="preserve"> with 27dB ACLR</w:t>
      </w:r>
    </w:p>
    <w:p w14:paraId="7F172FF0" w14:textId="77777777" w:rsidR="00F52489" w:rsidRDefault="00000000">
      <w:pPr>
        <w:widowControl/>
        <w:numPr>
          <w:ilvl w:val="1"/>
          <w:numId w:val="4"/>
        </w:numPr>
        <w:pBdr>
          <w:top w:val="nil"/>
          <w:left w:val="nil"/>
          <w:bottom w:val="nil"/>
          <w:right w:val="nil"/>
          <w:between w:val="nil"/>
        </w:pBdr>
        <w:spacing w:after="0"/>
        <w:jc w:val="left"/>
      </w:pPr>
      <w:r>
        <w:rPr>
          <w:color w:val="000000"/>
        </w:rPr>
        <w:t>MPR table format can be reused the MPR format of NR-U according to each transmitted channel e.</w:t>
      </w:r>
      <w:proofErr w:type="gramStart"/>
      <w:r>
        <w:rPr>
          <w:color w:val="000000"/>
        </w:rPr>
        <w:t>g.PSSCH</w:t>
      </w:r>
      <w:proofErr w:type="gramEnd"/>
      <w:r>
        <w:rPr>
          <w:color w:val="000000"/>
        </w:rPr>
        <w:t>/PSCCH transmission, PSFCH transmission and PSBCH transmission.</w:t>
      </w:r>
    </w:p>
    <w:p w14:paraId="37971661" w14:textId="29181213" w:rsidR="00F52489" w:rsidRDefault="00000000">
      <w:pPr>
        <w:widowControl/>
        <w:numPr>
          <w:ilvl w:val="1"/>
          <w:numId w:val="4"/>
        </w:numPr>
        <w:pBdr>
          <w:top w:val="nil"/>
          <w:left w:val="nil"/>
          <w:bottom w:val="nil"/>
          <w:right w:val="nil"/>
          <w:between w:val="nil"/>
        </w:pBdr>
        <w:spacing w:after="0"/>
        <w:jc w:val="left"/>
      </w:pPr>
      <w:r>
        <w:rPr>
          <w:color w:val="000000"/>
        </w:rPr>
        <w:t xml:space="preserve">The MPR will be applied to all SCS in all active 20 MHz sub-bands contiguously allocated in the channel.  </w:t>
      </w:r>
    </w:p>
    <w:p w14:paraId="3A425B62" w14:textId="520C48BB" w:rsidR="00F52489" w:rsidRDefault="00000000">
      <w:pPr>
        <w:widowControl/>
        <w:numPr>
          <w:ilvl w:val="1"/>
          <w:numId w:val="4"/>
        </w:numPr>
        <w:pBdr>
          <w:top w:val="nil"/>
          <w:left w:val="nil"/>
          <w:bottom w:val="nil"/>
          <w:right w:val="nil"/>
          <w:between w:val="nil"/>
        </w:pBdr>
        <w:spacing w:after="0"/>
        <w:jc w:val="left"/>
      </w:pPr>
      <w:r>
        <w:rPr>
          <w:color w:val="000000"/>
        </w:rPr>
        <w:t>Follow the RB</w:t>
      </w:r>
      <w:r w:rsidR="006758F4">
        <w:rPr>
          <w:color w:val="000000"/>
        </w:rPr>
        <w:t xml:space="preserve"> interlaced</w:t>
      </w:r>
      <w:r>
        <w:rPr>
          <w:color w:val="000000"/>
        </w:rPr>
        <w:t xml:space="preserve"> allocation based on Table 6.2F.2-1 and Table 6.2F.2-2 in TS38.101-1.</w:t>
      </w:r>
      <w:r w:rsidR="006758F4" w:rsidRPr="006758F4">
        <w:rPr>
          <w:color w:val="000000"/>
        </w:rPr>
        <w:t xml:space="preserve"> </w:t>
      </w:r>
      <w:r w:rsidR="006758F4">
        <w:rPr>
          <w:color w:val="000000"/>
        </w:rPr>
        <w:t>Also refer</w:t>
      </w:r>
      <w:r w:rsidR="00A77DD0">
        <w:rPr>
          <w:color w:val="000000"/>
        </w:rPr>
        <w:t xml:space="preserve"> the</w:t>
      </w:r>
      <w:r w:rsidR="006758F4">
        <w:rPr>
          <w:color w:val="000000"/>
        </w:rPr>
        <w:t xml:space="preserve"> interlaced allocations with uplink resource allocation type 2 as specified in TS 38.214.   </w:t>
      </w:r>
    </w:p>
    <w:p w14:paraId="1EB897C5" w14:textId="77777777" w:rsidR="00F52489" w:rsidRDefault="00F52489">
      <w:pPr>
        <w:widowControl/>
        <w:pBdr>
          <w:top w:val="nil"/>
          <w:left w:val="nil"/>
          <w:bottom w:val="nil"/>
          <w:right w:val="nil"/>
          <w:between w:val="nil"/>
        </w:pBdr>
        <w:spacing w:after="0"/>
        <w:ind w:left="1440"/>
        <w:jc w:val="left"/>
        <w:rPr>
          <w:color w:val="000000"/>
        </w:rPr>
      </w:pPr>
    </w:p>
    <w:p w14:paraId="2AA319E3" w14:textId="77777777" w:rsidR="00F52489" w:rsidRDefault="00000000">
      <w:pPr>
        <w:widowControl/>
        <w:numPr>
          <w:ilvl w:val="0"/>
          <w:numId w:val="4"/>
        </w:numPr>
        <w:pBdr>
          <w:top w:val="nil"/>
          <w:left w:val="nil"/>
          <w:bottom w:val="nil"/>
          <w:right w:val="nil"/>
          <w:between w:val="nil"/>
        </w:pBdr>
        <w:spacing w:after="0"/>
        <w:jc w:val="left"/>
      </w:pPr>
      <w:r>
        <w:rPr>
          <w:color w:val="000000"/>
        </w:rPr>
        <w:t>Basic parameters for SL operation [5]</w:t>
      </w:r>
    </w:p>
    <w:tbl>
      <w:tblPr>
        <w:tblStyle w:val="aff4"/>
        <w:tblW w:w="79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4390"/>
      </w:tblGrid>
      <w:tr w:rsidR="00F52489" w14:paraId="1D56A7A2" w14:textId="77777777">
        <w:trPr>
          <w:trHeight w:val="356"/>
          <w:jc w:val="center"/>
        </w:trPr>
        <w:tc>
          <w:tcPr>
            <w:tcW w:w="3539" w:type="dxa"/>
            <w:tcBorders>
              <w:top w:val="single" w:sz="18" w:space="0" w:color="000000"/>
              <w:left w:val="single" w:sz="18" w:space="0" w:color="000000"/>
              <w:bottom w:val="single" w:sz="18" w:space="0" w:color="000000"/>
              <w:right w:val="single" w:sz="4" w:space="0" w:color="000000"/>
            </w:tcBorders>
            <w:shd w:val="clear" w:color="auto" w:fill="auto"/>
            <w:vAlign w:val="center"/>
          </w:tcPr>
          <w:p w14:paraId="4E24F194"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lastRenderedPageBreak/>
              <w:t>Items</w:t>
            </w:r>
          </w:p>
        </w:tc>
        <w:tc>
          <w:tcPr>
            <w:tcW w:w="4390" w:type="dxa"/>
            <w:tcBorders>
              <w:top w:val="single" w:sz="18" w:space="0" w:color="000000"/>
              <w:left w:val="single" w:sz="4" w:space="0" w:color="000000"/>
              <w:bottom w:val="single" w:sz="18" w:space="0" w:color="000000"/>
              <w:right w:val="single" w:sz="18" w:space="0" w:color="000000"/>
            </w:tcBorders>
            <w:shd w:val="clear" w:color="auto" w:fill="auto"/>
            <w:vAlign w:val="center"/>
          </w:tcPr>
          <w:p w14:paraId="7A54ABFB"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52489" w14:paraId="609F4D26" w14:textId="77777777">
        <w:trPr>
          <w:trHeight w:val="555"/>
          <w:jc w:val="center"/>
        </w:trPr>
        <w:tc>
          <w:tcPr>
            <w:tcW w:w="3539" w:type="dxa"/>
            <w:tcBorders>
              <w:top w:val="single" w:sz="18" w:space="0" w:color="000000"/>
              <w:left w:val="single" w:sz="18" w:space="0" w:color="000000"/>
              <w:bottom w:val="single" w:sz="6" w:space="0" w:color="000000"/>
              <w:right w:val="single" w:sz="4" w:space="0" w:color="000000"/>
            </w:tcBorders>
            <w:shd w:val="clear" w:color="auto" w:fill="auto"/>
          </w:tcPr>
          <w:p w14:paraId="2069B79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Allowed sub-channel sizes</w:t>
            </w:r>
          </w:p>
        </w:tc>
        <w:tc>
          <w:tcPr>
            <w:tcW w:w="4390" w:type="dxa"/>
            <w:tcBorders>
              <w:top w:val="single" w:sz="18" w:space="0" w:color="000000"/>
              <w:left w:val="single" w:sz="4" w:space="0" w:color="000000"/>
              <w:bottom w:val="single" w:sz="6" w:space="0" w:color="000000"/>
              <w:right w:val="single" w:sz="18" w:space="0" w:color="000000"/>
            </w:tcBorders>
            <w:shd w:val="clear" w:color="auto" w:fill="auto"/>
          </w:tcPr>
          <w:p w14:paraId="12B5B9A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Support {10, 12, 15, 20, 25, 50, 75, 100} PRBs for possible sub-channel size.</w:t>
            </w:r>
          </w:p>
        </w:tc>
      </w:tr>
      <w:tr w:rsidR="00F52489" w14:paraId="292378F2" w14:textId="77777777">
        <w:trPr>
          <w:trHeight w:val="555"/>
          <w:jc w:val="center"/>
        </w:trPr>
        <w:tc>
          <w:tcPr>
            <w:tcW w:w="3539" w:type="dxa"/>
            <w:tcBorders>
              <w:top w:val="single" w:sz="6" w:space="0" w:color="000000"/>
              <w:left w:val="single" w:sz="18" w:space="0" w:color="000000"/>
            </w:tcBorders>
            <w:shd w:val="clear" w:color="auto" w:fill="auto"/>
          </w:tcPr>
          <w:p w14:paraId="5A5F87B7" w14:textId="77777777" w:rsidR="00F52489" w:rsidRDefault="00000000">
            <w:pPr>
              <w:keepNext/>
              <w:keepLines/>
              <w:widowControl/>
              <w:pBdr>
                <w:top w:val="nil"/>
                <w:left w:val="nil"/>
                <w:bottom w:val="nil"/>
                <w:right w:val="nil"/>
                <w:between w:val="nil"/>
              </w:pBdr>
              <w:spacing w:after="0"/>
              <w:jc w:val="center"/>
              <w:rPr>
                <w:b/>
                <w:color w:val="000000"/>
                <w:sz w:val="18"/>
                <w:szCs w:val="18"/>
              </w:rPr>
            </w:pPr>
            <w:r>
              <w:rPr>
                <w:color w:val="000000"/>
                <w:sz w:val="18"/>
                <w:szCs w:val="18"/>
              </w:rPr>
              <w:t>Allowed L</w:t>
            </w:r>
            <w:r>
              <w:rPr>
                <w:color w:val="000000"/>
                <w:sz w:val="18"/>
                <w:szCs w:val="18"/>
                <w:vertAlign w:val="subscript"/>
              </w:rPr>
              <w:t>CRB</w:t>
            </w:r>
            <w:r>
              <w:rPr>
                <w:color w:val="000000"/>
                <w:sz w:val="18"/>
                <w:szCs w:val="18"/>
              </w:rPr>
              <w:t xml:space="preserve"> allocation</w:t>
            </w:r>
          </w:p>
        </w:tc>
        <w:tc>
          <w:tcPr>
            <w:tcW w:w="4390" w:type="dxa"/>
            <w:tcBorders>
              <w:top w:val="single" w:sz="6" w:space="0" w:color="000000"/>
              <w:right w:val="single" w:sz="18" w:space="0" w:color="000000"/>
            </w:tcBorders>
            <w:shd w:val="clear" w:color="auto" w:fill="auto"/>
          </w:tcPr>
          <w:p w14:paraId="1DE65A50"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10,12,15,20,24,25,30,36,40,45,48,50,60,70,72,75,80,84,90,96,100,105,108,110,120,130,132,135,140,144,150,156,160,165,168,170,175,180,190,192,195,200,204,210,216</w:t>
            </w:r>
          </w:p>
        </w:tc>
      </w:tr>
      <w:tr w:rsidR="00F52489" w14:paraId="52B9A4EC" w14:textId="77777777">
        <w:trPr>
          <w:trHeight w:val="555"/>
          <w:jc w:val="center"/>
        </w:trPr>
        <w:tc>
          <w:tcPr>
            <w:tcW w:w="3539" w:type="dxa"/>
            <w:tcBorders>
              <w:left w:val="single" w:sz="18" w:space="0" w:color="000000"/>
            </w:tcBorders>
            <w:shd w:val="clear" w:color="auto" w:fill="auto"/>
          </w:tcPr>
          <w:p w14:paraId="50E3932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Regarding PSCCH / PSSCH multiplexing</w:t>
            </w:r>
          </w:p>
        </w:tc>
        <w:tc>
          <w:tcPr>
            <w:tcW w:w="4390" w:type="dxa"/>
            <w:tcBorders>
              <w:right w:val="single" w:sz="18" w:space="0" w:color="000000"/>
            </w:tcBorders>
            <w:shd w:val="clear" w:color="auto" w:fill="auto"/>
          </w:tcPr>
          <w:p w14:paraId="45907A8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106E86D1" wp14:editId="7B36CC80">
                  <wp:extent cx="2060575" cy="737870"/>
                  <wp:effectExtent l="0" t="0" r="0" b="0"/>
                  <wp:docPr id="5126"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8"/>
                          <a:srcRect/>
                          <a:stretch>
                            <a:fillRect/>
                          </a:stretch>
                        </pic:blipFill>
                        <pic:spPr>
                          <a:xfrm>
                            <a:off x="0" y="0"/>
                            <a:ext cx="2060575" cy="737870"/>
                          </a:xfrm>
                          <a:prstGeom prst="rect">
                            <a:avLst/>
                          </a:prstGeom>
                          <a:ln/>
                        </pic:spPr>
                      </pic:pic>
                    </a:graphicData>
                  </a:graphic>
                </wp:inline>
              </w:drawing>
            </w:r>
          </w:p>
        </w:tc>
      </w:tr>
      <w:tr w:rsidR="00F52489" w14:paraId="5B4635E7" w14:textId="77777777">
        <w:trPr>
          <w:trHeight w:val="555"/>
          <w:jc w:val="center"/>
        </w:trPr>
        <w:tc>
          <w:tcPr>
            <w:tcW w:w="3539" w:type="dxa"/>
            <w:tcBorders>
              <w:left w:val="single" w:sz="18" w:space="0" w:color="000000"/>
            </w:tcBorders>
            <w:shd w:val="clear" w:color="auto" w:fill="auto"/>
          </w:tcPr>
          <w:p w14:paraId="36F8D2B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PSCCH size</w:t>
            </w:r>
          </w:p>
        </w:tc>
        <w:tc>
          <w:tcPr>
            <w:tcW w:w="4390" w:type="dxa"/>
            <w:tcBorders>
              <w:right w:val="single" w:sz="18" w:space="0" w:color="000000"/>
            </w:tcBorders>
            <w:shd w:val="clear" w:color="auto" w:fill="auto"/>
          </w:tcPr>
          <w:p w14:paraId="02B7ABCB"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10RB*3 Symbols</w:t>
            </w:r>
          </w:p>
        </w:tc>
      </w:tr>
      <w:tr w:rsidR="00F52489" w14:paraId="097FAC82" w14:textId="77777777">
        <w:trPr>
          <w:trHeight w:val="557"/>
          <w:jc w:val="center"/>
        </w:trPr>
        <w:tc>
          <w:tcPr>
            <w:tcW w:w="3539" w:type="dxa"/>
            <w:tcBorders>
              <w:left w:val="single" w:sz="18" w:space="0" w:color="000000"/>
              <w:bottom w:val="single" w:sz="18" w:space="0" w:color="000000"/>
            </w:tcBorders>
            <w:shd w:val="clear" w:color="auto" w:fill="auto"/>
          </w:tcPr>
          <w:p w14:paraId="2F8ED0B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PSD offset of X dB between PSCCH and PSSCH</w:t>
            </w:r>
          </w:p>
        </w:tc>
        <w:tc>
          <w:tcPr>
            <w:tcW w:w="4390" w:type="dxa"/>
            <w:tcBorders>
              <w:bottom w:val="single" w:sz="18" w:space="0" w:color="000000"/>
              <w:right w:val="single" w:sz="18" w:space="0" w:color="000000"/>
            </w:tcBorders>
            <w:shd w:val="clear" w:color="auto" w:fill="auto"/>
          </w:tcPr>
          <w:p w14:paraId="14EAA9C5"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0dB</w:t>
            </w:r>
          </w:p>
        </w:tc>
      </w:tr>
      <w:tr w:rsidR="00F52489" w14:paraId="7CBD60F3" w14:textId="77777777">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0209A4B6"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 xml:space="preserve">Modulation for PSFCH </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4700976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F52489" w14:paraId="3282216F"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083D37E7"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PSFCH</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2F96428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ZC sequence</w:t>
            </w:r>
          </w:p>
        </w:tc>
      </w:tr>
      <w:tr w:rsidR="00F52489" w14:paraId="3EF64373" w14:textId="77777777">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45497F9B"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Structure of Slot</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2FB146CF"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Baseline is to follow RAN1 agreements</w:t>
            </w:r>
          </w:p>
        </w:tc>
      </w:tr>
      <w:tr w:rsidR="00F52489" w14:paraId="4E4272D7" w14:textId="77777777">
        <w:trPr>
          <w:trHeight w:val="557"/>
          <w:jc w:val="center"/>
        </w:trPr>
        <w:tc>
          <w:tcPr>
            <w:tcW w:w="3539" w:type="dxa"/>
            <w:tcBorders>
              <w:top w:val="single" w:sz="18" w:space="0" w:color="000000"/>
              <w:left w:val="single" w:sz="18" w:space="0" w:color="000000"/>
              <w:bottom w:val="single" w:sz="6" w:space="0" w:color="000000"/>
              <w:right w:val="single" w:sz="6" w:space="0" w:color="000000"/>
            </w:tcBorders>
            <w:shd w:val="clear" w:color="auto" w:fill="auto"/>
          </w:tcPr>
          <w:p w14:paraId="08865AD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for PSBCH</w:t>
            </w:r>
          </w:p>
        </w:tc>
        <w:tc>
          <w:tcPr>
            <w:tcW w:w="4390" w:type="dxa"/>
            <w:tcBorders>
              <w:top w:val="single" w:sz="18" w:space="0" w:color="000000"/>
              <w:left w:val="single" w:sz="6" w:space="0" w:color="000000"/>
              <w:bottom w:val="single" w:sz="6" w:space="0" w:color="000000"/>
              <w:right w:val="single" w:sz="18" w:space="0" w:color="000000"/>
            </w:tcBorders>
            <w:shd w:val="clear" w:color="auto" w:fill="auto"/>
          </w:tcPr>
          <w:p w14:paraId="255879B9"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F52489" w14:paraId="644A9A73"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663C8AA1"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S-PSS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3B9F2B3D"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M-sequence</w:t>
            </w:r>
          </w:p>
        </w:tc>
      </w:tr>
      <w:tr w:rsidR="00F52489" w14:paraId="0D27A5B6"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1D141F12"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S-SSS</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27F8C198" w14:textId="77777777" w:rsidR="00F52489" w:rsidRDefault="00000000">
            <w:pPr>
              <w:keepNext/>
              <w:keepLines/>
              <w:widowControl/>
              <w:pBdr>
                <w:top w:val="nil"/>
                <w:left w:val="nil"/>
                <w:bottom w:val="nil"/>
                <w:right w:val="nil"/>
                <w:between w:val="nil"/>
              </w:pBdr>
              <w:spacing w:after="0"/>
              <w:jc w:val="center"/>
              <w:rPr>
                <w:color w:val="000000"/>
                <w:sz w:val="18"/>
                <w:szCs w:val="18"/>
              </w:rPr>
            </w:pPr>
            <w:proofErr w:type="gramStart"/>
            <w:r>
              <w:rPr>
                <w:color w:val="000000"/>
                <w:sz w:val="18"/>
                <w:szCs w:val="18"/>
              </w:rPr>
              <w:t>Golden-sequence</w:t>
            </w:r>
            <w:proofErr w:type="gramEnd"/>
          </w:p>
        </w:tc>
      </w:tr>
      <w:tr w:rsidR="00F52489" w14:paraId="4EEAD7FE" w14:textId="77777777">
        <w:trPr>
          <w:trHeight w:val="557"/>
          <w:jc w:val="center"/>
        </w:trPr>
        <w:tc>
          <w:tcPr>
            <w:tcW w:w="3539" w:type="dxa"/>
            <w:tcBorders>
              <w:top w:val="single" w:sz="6" w:space="0" w:color="000000"/>
              <w:left w:val="single" w:sz="18" w:space="0" w:color="000000"/>
              <w:bottom w:val="single" w:sz="6" w:space="0" w:color="000000"/>
              <w:right w:val="single" w:sz="6" w:space="0" w:color="000000"/>
            </w:tcBorders>
            <w:shd w:val="clear" w:color="auto" w:fill="auto"/>
          </w:tcPr>
          <w:p w14:paraId="450CE127"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S-SSB structure</w:t>
            </w:r>
          </w:p>
        </w:tc>
        <w:tc>
          <w:tcPr>
            <w:tcW w:w="4390" w:type="dxa"/>
            <w:tcBorders>
              <w:top w:val="single" w:sz="6" w:space="0" w:color="000000"/>
              <w:left w:val="single" w:sz="6" w:space="0" w:color="000000"/>
              <w:bottom w:val="single" w:sz="6" w:space="0" w:color="000000"/>
              <w:right w:val="single" w:sz="18" w:space="0" w:color="000000"/>
            </w:tcBorders>
            <w:shd w:val="clear" w:color="auto" w:fill="auto"/>
          </w:tcPr>
          <w:p w14:paraId="1A266B30"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00503CC5" wp14:editId="21380532">
                  <wp:extent cx="2636726" cy="300311"/>
                  <wp:effectExtent l="0" t="0" r="0" b="0"/>
                  <wp:docPr id="51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636726" cy="300311"/>
                          </a:xfrm>
                          <a:prstGeom prst="rect">
                            <a:avLst/>
                          </a:prstGeom>
                          <a:ln/>
                        </pic:spPr>
                      </pic:pic>
                    </a:graphicData>
                  </a:graphic>
                </wp:inline>
              </w:drawing>
            </w:r>
          </w:p>
        </w:tc>
      </w:tr>
      <w:tr w:rsidR="00F52489" w14:paraId="5572DDA0" w14:textId="77777777">
        <w:trPr>
          <w:trHeight w:val="557"/>
          <w:jc w:val="center"/>
        </w:trPr>
        <w:tc>
          <w:tcPr>
            <w:tcW w:w="3539" w:type="dxa"/>
            <w:tcBorders>
              <w:top w:val="single" w:sz="6" w:space="0" w:color="000000"/>
              <w:left w:val="single" w:sz="18" w:space="0" w:color="000000"/>
              <w:bottom w:val="single" w:sz="18" w:space="0" w:color="000000"/>
              <w:right w:val="single" w:sz="6" w:space="0" w:color="000000"/>
            </w:tcBorders>
            <w:shd w:val="clear" w:color="auto" w:fill="auto"/>
          </w:tcPr>
          <w:p w14:paraId="226D1706"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RB allocation</w:t>
            </w:r>
          </w:p>
        </w:tc>
        <w:tc>
          <w:tcPr>
            <w:tcW w:w="4390" w:type="dxa"/>
            <w:tcBorders>
              <w:top w:val="single" w:sz="6" w:space="0" w:color="000000"/>
              <w:left w:val="single" w:sz="6" w:space="0" w:color="000000"/>
              <w:bottom w:val="single" w:sz="18" w:space="0" w:color="000000"/>
              <w:right w:val="single" w:sz="18" w:space="0" w:color="000000"/>
            </w:tcBorders>
            <w:shd w:val="clear" w:color="auto" w:fill="auto"/>
          </w:tcPr>
          <w:p w14:paraId="4E18FC4C"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RBstart: All the possible cases</w:t>
            </w:r>
          </w:p>
          <w:p w14:paraId="2F93D583" w14:textId="77777777" w:rsidR="00F5248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L</w:t>
            </w:r>
            <w:r>
              <w:rPr>
                <w:color w:val="000000"/>
                <w:sz w:val="18"/>
                <w:szCs w:val="18"/>
                <w:vertAlign w:val="subscript"/>
              </w:rPr>
              <w:t>CRB</w:t>
            </w:r>
            <w:r>
              <w:rPr>
                <w:color w:val="000000"/>
                <w:sz w:val="18"/>
                <w:szCs w:val="18"/>
              </w:rPr>
              <w:t>: 11 RB</w:t>
            </w:r>
          </w:p>
        </w:tc>
      </w:tr>
    </w:tbl>
    <w:p w14:paraId="32AD3791" w14:textId="77777777" w:rsidR="00F52489" w:rsidRDefault="00F52489">
      <w:pPr>
        <w:widowControl/>
        <w:pBdr>
          <w:top w:val="nil"/>
          <w:left w:val="nil"/>
          <w:bottom w:val="nil"/>
          <w:right w:val="nil"/>
          <w:between w:val="nil"/>
        </w:pBdr>
        <w:spacing w:after="0"/>
        <w:ind w:left="1440"/>
        <w:jc w:val="left"/>
        <w:rPr>
          <w:color w:val="000000"/>
        </w:rPr>
      </w:pPr>
    </w:p>
    <w:p w14:paraId="3A39737E" w14:textId="77777777" w:rsidR="00F52489" w:rsidRDefault="00F52489">
      <w:pPr>
        <w:widowControl/>
        <w:spacing w:after="0"/>
        <w:jc w:val="center"/>
      </w:pPr>
    </w:p>
    <w:p w14:paraId="49107CFE" w14:textId="77777777" w:rsidR="00F52489" w:rsidRDefault="00000000">
      <w:pPr>
        <w:widowControl/>
        <w:spacing w:after="0"/>
      </w:pPr>
      <w:r>
        <w:t xml:space="preserve">Based on these RF parameters and simulation assumptions, RAN4 can derive the required MPR levels according to the Full/partial &amp; interlaces RB allocation based on the principle in MPR Table 6.2F.2-1 and Table 6.2F.2-2 in TS38.101-1. </w:t>
      </w:r>
    </w:p>
    <w:p w14:paraId="1897FC69" w14:textId="77777777" w:rsidR="00F52489" w:rsidRDefault="00F52489">
      <w:pPr>
        <w:widowControl/>
        <w:spacing w:after="0"/>
        <w:jc w:val="left"/>
      </w:pPr>
    </w:p>
    <w:p w14:paraId="19BAFD59" w14:textId="77777777" w:rsidR="00F52489" w:rsidRDefault="00000000">
      <w:pPr>
        <w:widowControl/>
        <w:jc w:val="left"/>
        <w:rPr>
          <w:b/>
        </w:rPr>
      </w:pPr>
      <w:r>
        <w:rPr>
          <w:b/>
        </w:rPr>
        <w:t>Proposal #1: For MPR evaluation for SL-U operation in unlicensed bands, RAN4 can consider the provided RF parameters and simulation assumptions in section 2.</w:t>
      </w:r>
      <w:r>
        <w:rPr>
          <w:color w:val="000000"/>
        </w:rPr>
        <w:t xml:space="preserve"> </w:t>
      </w:r>
    </w:p>
    <w:p w14:paraId="3595F176" w14:textId="77777777" w:rsidR="00F52489" w:rsidRDefault="00F52489">
      <w:pPr>
        <w:widowControl/>
        <w:spacing w:after="0"/>
      </w:pPr>
    </w:p>
    <w:p w14:paraId="545D0333" w14:textId="77777777" w:rsidR="00F52489" w:rsidRDefault="00F52489">
      <w:pPr>
        <w:pBdr>
          <w:top w:val="nil"/>
          <w:left w:val="nil"/>
          <w:bottom w:val="nil"/>
          <w:right w:val="nil"/>
          <w:between w:val="nil"/>
        </w:pBdr>
        <w:jc w:val="left"/>
        <w:rPr>
          <w:color w:val="000000"/>
        </w:rPr>
      </w:pPr>
    </w:p>
    <w:p w14:paraId="0F50925F" w14:textId="043027BF" w:rsidR="00F52489" w:rsidRDefault="00000000">
      <w:pPr>
        <w:pStyle w:val="1"/>
        <w:numPr>
          <w:ilvl w:val="0"/>
          <w:numId w:val="5"/>
        </w:numPr>
        <w:spacing w:before="120"/>
        <w:ind w:left="272" w:hanging="272"/>
      </w:pPr>
      <w:r>
        <w:t xml:space="preserve">Discussion on system parameter </w:t>
      </w:r>
      <w:r w:rsidR="00233D33">
        <w:t xml:space="preserve">and other Tx </w:t>
      </w:r>
      <w:r>
        <w:t>requirements for NR SL-U</w:t>
      </w:r>
    </w:p>
    <w:p w14:paraId="210C0DFF" w14:textId="77777777" w:rsidR="00F52489" w:rsidRDefault="00000000">
      <w:pPr>
        <w:pStyle w:val="4"/>
        <w:spacing w:before="180" w:after="120" w:line="276" w:lineRule="auto"/>
        <w:ind w:left="0" w:firstLine="0"/>
      </w:pPr>
      <w:r>
        <w:rPr>
          <w:color w:val="000000"/>
          <w:sz w:val="20"/>
          <w:szCs w:val="20"/>
          <w:u w:val="single"/>
        </w:rPr>
        <w:t>Issue 2-1: SL-U requirements location in 38.101-1</w:t>
      </w:r>
    </w:p>
    <w:p w14:paraId="6681AE0D" w14:textId="77777777" w:rsidR="00F52489" w:rsidRDefault="00000000">
      <w:pPr>
        <w:widowControl/>
        <w:spacing w:after="0"/>
      </w:pPr>
      <w:r>
        <w:t xml:space="preserve">For the location of SL-U RF requirements in TS38.101-1, there were parts to specify the SL-U requirements. One side is proposed to be located in Suffix E and the other side is preferred to define new suffix J for SL-U. Our position is the specification location can be captured the corresponding RF requirements in suffix E for SL-U operation since SL operation in unlicensed is considered that the same physical channels of the sidelink operation will be used and it was just operated in the different unlicensed bands compare to 5G V2X service. So the related RF requirements for SL-U operation will </w:t>
      </w:r>
      <w:r>
        <w:lastRenderedPageBreak/>
        <w:t xml:space="preserve">be captured in suffix E in TS38.101-1 and we prefer to change ‘V2X’ acronym to ‘Sidelink’ acronym in TS38.101-1. </w:t>
      </w:r>
    </w:p>
    <w:p w14:paraId="17FF0E54" w14:textId="77777777" w:rsidR="00F52489" w:rsidRDefault="00F52489">
      <w:pPr>
        <w:widowControl/>
        <w:spacing w:after="0"/>
      </w:pPr>
    </w:p>
    <w:p w14:paraId="2ED56BAE" w14:textId="77777777" w:rsidR="00F52489" w:rsidRDefault="00000000">
      <w:pPr>
        <w:widowControl/>
        <w:jc w:val="left"/>
        <w:rPr>
          <w:color w:val="000000"/>
        </w:rPr>
      </w:pPr>
      <w:r>
        <w:rPr>
          <w:b/>
        </w:rPr>
        <w:t>Proposal #2: The SL-U RF requirements can be captured in suffix E in TS38.101-1 and prefer to change ‘V2X’ acronym to ‘Sidelink’ acronym in TS38.101-1.</w:t>
      </w:r>
      <w:r>
        <w:rPr>
          <w:color w:val="000000"/>
        </w:rPr>
        <w:t xml:space="preserve"> </w:t>
      </w:r>
    </w:p>
    <w:p w14:paraId="4C90D0C5" w14:textId="77777777" w:rsidR="00F52489" w:rsidRDefault="00F52489">
      <w:pPr>
        <w:widowControl/>
        <w:jc w:val="left"/>
      </w:pPr>
    </w:p>
    <w:p w14:paraId="6AA5F83F" w14:textId="77777777" w:rsidR="00F52489" w:rsidRDefault="00000000">
      <w:pPr>
        <w:pStyle w:val="4"/>
        <w:pBdr>
          <w:top w:val="nil"/>
          <w:left w:val="nil"/>
          <w:bottom w:val="nil"/>
          <w:right w:val="nil"/>
          <w:between w:val="nil"/>
        </w:pBdr>
        <w:spacing w:before="180" w:after="120" w:line="276" w:lineRule="auto"/>
        <w:ind w:left="0" w:firstLine="0"/>
        <w:rPr>
          <w:color w:val="000000"/>
        </w:rPr>
      </w:pPr>
      <w:r>
        <w:rPr>
          <w:sz w:val="20"/>
          <w:szCs w:val="20"/>
          <w:u w:val="single"/>
        </w:rPr>
        <w:t>Issue</w:t>
      </w:r>
      <w:r>
        <w:rPr>
          <w:color w:val="000000"/>
          <w:sz w:val="20"/>
          <w:szCs w:val="20"/>
          <w:u w:val="single"/>
        </w:rPr>
        <w:t xml:space="preserve"> 2-4: Support for 10MHz channel bandwidth for SL-U</w:t>
      </w:r>
    </w:p>
    <w:p w14:paraId="7C316B30" w14:textId="77777777" w:rsidR="00F52489" w:rsidRDefault="00000000">
      <w:pPr>
        <w:widowControl/>
        <w:spacing w:after="0"/>
      </w:pPr>
      <w:r>
        <w:t>For the support of the 10MHz CBW in SL-U operation in unlicensed bands, currently the 10MHz CBW was not supported in all unlicensed spectrum e.g, n46/n96/n102 NR bands in TS38.101- specification. So we prefer to apply the same principle of NR-U for SL-U in Rel-18.</w:t>
      </w:r>
    </w:p>
    <w:p w14:paraId="0EEA1CA2" w14:textId="77777777" w:rsidR="00F52489" w:rsidRDefault="00F52489">
      <w:pPr>
        <w:widowControl/>
        <w:jc w:val="left"/>
        <w:rPr>
          <w:color w:val="000000"/>
        </w:rPr>
      </w:pPr>
    </w:p>
    <w:p w14:paraId="2730BAF8" w14:textId="77777777" w:rsidR="00BD6250" w:rsidRDefault="00BD6250" w:rsidP="00BD6250">
      <w:pPr>
        <w:widowControl/>
      </w:pPr>
      <w:r>
        <w:rPr>
          <w:b/>
        </w:rPr>
        <w:t>Proposal #3: The 10MHz CBW was not supported for SL-U operation in a single carrier. It will be revisited when the 10MHz CBW is supported for NR-U operation in unlicensed bands as standalone</w:t>
      </w:r>
      <w:r>
        <w:t>.</w:t>
      </w:r>
    </w:p>
    <w:p w14:paraId="6445C004" w14:textId="77777777" w:rsidR="00F52489" w:rsidRDefault="00F52489">
      <w:pPr>
        <w:widowControl/>
        <w:jc w:val="left"/>
        <w:rPr>
          <w:b/>
        </w:rPr>
      </w:pPr>
    </w:p>
    <w:p w14:paraId="62E43922" w14:textId="77777777" w:rsidR="00F52489" w:rsidRDefault="00000000">
      <w:pPr>
        <w:pStyle w:val="4"/>
        <w:pBdr>
          <w:top w:val="nil"/>
          <w:left w:val="nil"/>
          <w:bottom w:val="nil"/>
          <w:right w:val="nil"/>
          <w:between w:val="nil"/>
        </w:pBdr>
        <w:spacing w:before="60" w:after="120"/>
        <w:ind w:left="0" w:firstLine="0"/>
        <w:rPr>
          <w:color w:val="000000"/>
        </w:rPr>
      </w:pPr>
      <w:r>
        <w:rPr>
          <w:sz w:val="20"/>
          <w:szCs w:val="20"/>
          <w:u w:val="single"/>
        </w:rPr>
        <w:t>Issue</w:t>
      </w:r>
      <w:r>
        <w:rPr>
          <w:color w:val="000000"/>
          <w:sz w:val="20"/>
          <w:szCs w:val="20"/>
          <w:u w:val="single"/>
        </w:rPr>
        <w:t xml:space="preserve"> 2-7-1: Channel raster</w:t>
      </w:r>
    </w:p>
    <w:p w14:paraId="6870CBD4" w14:textId="77777777" w:rsidR="00F52489" w:rsidRDefault="00000000">
      <w:pPr>
        <w:pBdr>
          <w:top w:val="nil"/>
          <w:left w:val="nil"/>
          <w:bottom w:val="nil"/>
          <w:right w:val="nil"/>
          <w:between w:val="nil"/>
        </w:pBdr>
        <w:rPr>
          <w:color w:val="000000"/>
        </w:rPr>
      </w:pPr>
      <w:r>
        <w:rPr>
          <w:color w:val="000000"/>
        </w:rPr>
        <w:t xml:space="preserve">The channel raster for </w:t>
      </w:r>
      <w:r>
        <w:t>NR</w:t>
      </w:r>
      <w:r>
        <w:rPr>
          <w:color w:val="000000"/>
        </w:rPr>
        <w:t xml:space="preserve">-U </w:t>
      </w:r>
      <w:r>
        <w:t>can be reused for SL</w:t>
      </w:r>
      <w:r>
        <w:rPr>
          <w:color w:val="000000"/>
        </w:rPr>
        <w:t xml:space="preserve">-U operation which was specified in clause 5.4.2.1 NR-ARFCN and channel raster and we prefer not to define the channel raster shift in SL-U. </w:t>
      </w:r>
    </w:p>
    <w:p w14:paraId="4A48753B" w14:textId="77777777" w:rsidR="00F52489" w:rsidRDefault="00000000">
      <w:pPr>
        <w:widowControl/>
        <w:jc w:val="left"/>
        <w:rPr>
          <w:b/>
        </w:rPr>
      </w:pPr>
      <w:r>
        <w:rPr>
          <w:b/>
        </w:rPr>
        <w:t>Proposal #4: Reuse the channel raster definitions for bands n46, n96 and n102 as specified in clause 5.4.2.1 NR-ARFCN and channel raster. And prefer not to define the channel raster shift in SL-U.</w:t>
      </w:r>
    </w:p>
    <w:p w14:paraId="58C643E1" w14:textId="77777777" w:rsidR="00F52489" w:rsidRDefault="00F52489">
      <w:pPr>
        <w:widowControl/>
        <w:jc w:val="left"/>
        <w:rPr>
          <w:color w:val="000000"/>
        </w:rPr>
      </w:pPr>
    </w:p>
    <w:p w14:paraId="4926FAB6" w14:textId="77777777" w:rsidR="00F52489" w:rsidRDefault="00000000">
      <w:pPr>
        <w:pStyle w:val="4"/>
        <w:pBdr>
          <w:top w:val="nil"/>
          <w:left w:val="nil"/>
          <w:bottom w:val="nil"/>
          <w:right w:val="nil"/>
          <w:between w:val="nil"/>
        </w:pBdr>
        <w:spacing w:before="60" w:after="120"/>
        <w:ind w:left="0" w:firstLine="0"/>
        <w:rPr>
          <w:color w:val="000000"/>
        </w:rPr>
      </w:pPr>
      <w:r>
        <w:rPr>
          <w:sz w:val="20"/>
          <w:szCs w:val="20"/>
          <w:u w:val="single"/>
        </w:rPr>
        <w:t>Issue</w:t>
      </w:r>
      <w:r>
        <w:rPr>
          <w:color w:val="000000"/>
          <w:sz w:val="20"/>
          <w:szCs w:val="20"/>
          <w:u w:val="single"/>
        </w:rPr>
        <w:t xml:space="preserve"> 2-8: Synchronization raster</w:t>
      </w:r>
    </w:p>
    <w:p w14:paraId="776CE823" w14:textId="77777777" w:rsidR="00F52489" w:rsidRDefault="00000000">
      <w:pPr>
        <w:pBdr>
          <w:top w:val="nil"/>
          <w:left w:val="nil"/>
          <w:bottom w:val="nil"/>
          <w:right w:val="nil"/>
          <w:between w:val="nil"/>
        </w:pBdr>
        <w:rPr>
          <w:color w:val="000000"/>
        </w:rPr>
      </w:pPr>
      <w:r>
        <w:rPr>
          <w:color w:val="000000"/>
        </w:rPr>
        <w:t xml:space="preserve">Basically, NR-U did not specify the synchronization raster for NR-U operation and SL enhancement WI in Rel-17, RAN4 did not define the sync raster. Hence RAN4 just </w:t>
      </w:r>
      <w:r>
        <w:t>follows</w:t>
      </w:r>
      <w:r>
        <w:rPr>
          <w:color w:val="000000"/>
        </w:rPr>
        <w:t xml:space="preserve"> the current specification. If RAN1 </w:t>
      </w:r>
      <w:r>
        <w:t xml:space="preserve">shares the </w:t>
      </w:r>
      <w:r>
        <w:rPr>
          <w:color w:val="000000"/>
        </w:rPr>
        <w:t xml:space="preserve">additional information </w:t>
      </w:r>
      <w:r>
        <w:t>for the sync</w:t>
      </w:r>
      <w:r>
        <w:rPr>
          <w:color w:val="000000"/>
        </w:rPr>
        <w:t xml:space="preserve"> raster, then RAN4 can revisit this issue. </w:t>
      </w:r>
    </w:p>
    <w:p w14:paraId="2812869F" w14:textId="77777777" w:rsidR="00F52489" w:rsidRDefault="00000000">
      <w:pPr>
        <w:widowControl/>
        <w:jc w:val="left"/>
        <w:rPr>
          <w:b/>
        </w:rPr>
      </w:pPr>
      <w:r>
        <w:rPr>
          <w:b/>
        </w:rPr>
        <w:t>Proposal #5: RAN4 does not need to define the synchronization raster for SL-U operation since the synchronization raster was not specified for NR-U and V2X operation.</w:t>
      </w:r>
    </w:p>
    <w:p w14:paraId="69C337A2" w14:textId="77777777" w:rsidR="00F52489" w:rsidRDefault="00F52489">
      <w:pPr>
        <w:pBdr>
          <w:top w:val="nil"/>
          <w:left w:val="nil"/>
          <w:bottom w:val="nil"/>
          <w:right w:val="nil"/>
          <w:between w:val="nil"/>
        </w:pBdr>
        <w:jc w:val="left"/>
        <w:rPr>
          <w:color w:val="000000"/>
        </w:rPr>
      </w:pPr>
    </w:p>
    <w:p w14:paraId="013A32B3" w14:textId="77777777" w:rsidR="00F52489" w:rsidRPr="00F057F2" w:rsidRDefault="00000000">
      <w:pPr>
        <w:pStyle w:val="4"/>
        <w:pBdr>
          <w:top w:val="nil"/>
          <w:left w:val="nil"/>
          <w:bottom w:val="nil"/>
          <w:right w:val="nil"/>
          <w:between w:val="nil"/>
        </w:pBdr>
        <w:spacing w:before="60" w:after="120"/>
        <w:ind w:left="0" w:firstLine="0"/>
        <w:rPr>
          <w:sz w:val="20"/>
          <w:szCs w:val="20"/>
          <w:u w:val="single"/>
        </w:rPr>
      </w:pPr>
      <w:r>
        <w:rPr>
          <w:sz w:val="20"/>
          <w:szCs w:val="20"/>
          <w:u w:val="single"/>
        </w:rPr>
        <w:t>Issue</w:t>
      </w:r>
      <w:r w:rsidRPr="00F057F2">
        <w:rPr>
          <w:sz w:val="20"/>
          <w:szCs w:val="20"/>
          <w:u w:val="single"/>
        </w:rPr>
        <w:t xml:space="preserve"> 2-10-1: Maximum output power</w:t>
      </w:r>
    </w:p>
    <w:p w14:paraId="30B79F45" w14:textId="77777777" w:rsidR="00F52489" w:rsidRDefault="00000000">
      <w:pPr>
        <w:pBdr>
          <w:top w:val="nil"/>
          <w:left w:val="nil"/>
          <w:bottom w:val="nil"/>
          <w:right w:val="nil"/>
          <w:between w:val="nil"/>
        </w:pBdr>
        <w:rPr>
          <w:color w:val="000000"/>
        </w:rPr>
      </w:pPr>
      <w:r>
        <w:rPr>
          <w:color w:val="000000"/>
        </w:rPr>
        <w:t>In 6GHz shared spectrum enhancement WI, both PC3 and PC5 are considered and defined related MPR/A-MPR requirements.</w:t>
      </w:r>
      <w:r>
        <w:t xml:space="preserve"> </w:t>
      </w:r>
      <w:r>
        <w:rPr>
          <w:color w:val="000000"/>
        </w:rPr>
        <w:t>So, we prefer to consider both PC3 and PC5 shall be considered for SL-U in unlicensed bands.</w:t>
      </w:r>
    </w:p>
    <w:p w14:paraId="0F65F449" w14:textId="77777777" w:rsidR="00F52489" w:rsidRDefault="00000000">
      <w:pPr>
        <w:widowControl/>
        <w:jc w:val="left"/>
        <w:rPr>
          <w:b/>
        </w:rPr>
      </w:pPr>
      <w:r>
        <w:rPr>
          <w:b/>
        </w:rPr>
        <w:t>Proposal #6: For Maximum output power, both PC3 and PC5 shall be considered for SL-U operation in unlicensed bands.</w:t>
      </w:r>
    </w:p>
    <w:p w14:paraId="555947CF" w14:textId="77777777" w:rsidR="00F52489" w:rsidRDefault="00F52489">
      <w:pPr>
        <w:pBdr>
          <w:top w:val="nil"/>
          <w:left w:val="nil"/>
          <w:bottom w:val="nil"/>
          <w:right w:val="nil"/>
          <w:between w:val="nil"/>
        </w:pBdr>
        <w:jc w:val="left"/>
        <w:rPr>
          <w:color w:val="000000"/>
        </w:rPr>
      </w:pPr>
    </w:p>
    <w:p w14:paraId="5D24A3A1" w14:textId="77777777" w:rsidR="00F52489" w:rsidRDefault="00000000">
      <w:pPr>
        <w:pStyle w:val="4"/>
        <w:pBdr>
          <w:top w:val="nil"/>
          <w:left w:val="nil"/>
          <w:bottom w:val="nil"/>
          <w:right w:val="nil"/>
          <w:between w:val="nil"/>
        </w:pBdr>
        <w:spacing w:before="60" w:after="120"/>
        <w:ind w:left="0" w:firstLine="0"/>
        <w:rPr>
          <w:color w:val="000000"/>
          <w:sz w:val="20"/>
          <w:szCs w:val="20"/>
          <w:u w:val="single"/>
        </w:rPr>
      </w:pPr>
      <w:r>
        <w:rPr>
          <w:sz w:val="20"/>
          <w:szCs w:val="20"/>
          <w:u w:val="single"/>
        </w:rPr>
        <w:t>Issue</w:t>
      </w:r>
      <w:r>
        <w:rPr>
          <w:color w:val="000000"/>
          <w:sz w:val="20"/>
          <w:szCs w:val="20"/>
          <w:u w:val="single"/>
        </w:rPr>
        <w:t xml:space="preserve"> 2-13: Maximum output power reduction (MPR)</w:t>
      </w:r>
    </w:p>
    <w:p w14:paraId="61A64E53" w14:textId="259EB710" w:rsidR="00F52489" w:rsidRDefault="00000000">
      <w:pPr>
        <w:pBdr>
          <w:top w:val="nil"/>
          <w:left w:val="nil"/>
          <w:bottom w:val="nil"/>
          <w:right w:val="nil"/>
          <w:between w:val="nil"/>
        </w:pBdr>
        <w:rPr>
          <w:color w:val="000000"/>
        </w:rPr>
      </w:pPr>
      <w:r>
        <w:rPr>
          <w:color w:val="000000"/>
        </w:rPr>
        <w:t xml:space="preserve">In NR-U operation </w:t>
      </w:r>
      <w:r>
        <w:t>in unlicensed</w:t>
      </w:r>
      <w:r>
        <w:rPr>
          <w:color w:val="000000"/>
        </w:rPr>
        <w:t xml:space="preserve"> bands, RAN4 just specified PC3 and PC5 RF requirements in Rel-17 and Rel-18. Also NR-U assumed both DFT-s-OFDM and CP-OFDM for MPR requirements. But SL enhancement WI only consider</w:t>
      </w:r>
      <w:r w:rsidR="002B58B5">
        <w:rPr>
          <w:color w:val="000000"/>
        </w:rPr>
        <w:t>ed</w:t>
      </w:r>
      <w:r>
        <w:rPr>
          <w:color w:val="000000"/>
        </w:rPr>
        <w:t xml:space="preserve"> the CP-OFDM waveform </w:t>
      </w:r>
      <w:r w:rsidR="00BD6250">
        <w:rPr>
          <w:color w:val="000000"/>
        </w:rPr>
        <w:t>from</w:t>
      </w:r>
      <w:r>
        <w:rPr>
          <w:color w:val="000000"/>
        </w:rPr>
        <w:t xml:space="preserve"> Rel-1</w:t>
      </w:r>
      <w:r w:rsidR="00BD6250">
        <w:rPr>
          <w:color w:val="000000"/>
        </w:rPr>
        <w:t>6</w:t>
      </w:r>
      <w:r>
        <w:rPr>
          <w:color w:val="000000"/>
        </w:rPr>
        <w:t>. Based on these situations, RAN4 can study the CP-OFDM waveform for SL-U operation in unlicensed bands as 1</w:t>
      </w:r>
      <w:r>
        <w:rPr>
          <w:color w:val="000000"/>
          <w:vertAlign w:val="superscript"/>
        </w:rPr>
        <w:t>st</w:t>
      </w:r>
      <w:r>
        <w:rPr>
          <w:color w:val="000000"/>
        </w:rPr>
        <w:t xml:space="preserve"> priority. </w:t>
      </w:r>
      <w:r w:rsidR="00BD6250">
        <w:rPr>
          <w:color w:val="000000"/>
        </w:rPr>
        <w:t>For</w:t>
      </w:r>
      <w:r>
        <w:rPr>
          <w:color w:val="000000"/>
        </w:rPr>
        <w:t xml:space="preserve"> DFT-s-OFDM waveform </w:t>
      </w:r>
      <w:r w:rsidR="00BD6250">
        <w:rPr>
          <w:color w:val="000000"/>
        </w:rPr>
        <w:t>could be supported if NR SL support the waveform in future release</w:t>
      </w:r>
      <w:r>
        <w:rPr>
          <w:color w:val="000000"/>
        </w:rPr>
        <w:t xml:space="preserve">. </w:t>
      </w:r>
    </w:p>
    <w:p w14:paraId="4417A323" w14:textId="77777777" w:rsidR="00F52489" w:rsidRDefault="00F52489">
      <w:pPr>
        <w:pBdr>
          <w:top w:val="nil"/>
          <w:left w:val="nil"/>
          <w:bottom w:val="nil"/>
          <w:right w:val="nil"/>
          <w:between w:val="nil"/>
        </w:pBdr>
        <w:jc w:val="left"/>
        <w:rPr>
          <w:color w:val="000000"/>
        </w:rPr>
      </w:pPr>
    </w:p>
    <w:p w14:paraId="59DA5F83" w14:textId="3C9E7565" w:rsidR="00F52489" w:rsidRDefault="00000000">
      <w:pPr>
        <w:widowControl/>
        <w:jc w:val="left"/>
        <w:rPr>
          <w:b/>
        </w:rPr>
      </w:pPr>
      <w:r>
        <w:rPr>
          <w:b/>
        </w:rPr>
        <w:lastRenderedPageBreak/>
        <w:t>Proposal #7: RAN4 can derive MPR requirements for both PC3/PC5 UE with CP-OFDM waveform.</w:t>
      </w:r>
    </w:p>
    <w:p w14:paraId="298F10B7" w14:textId="77777777" w:rsidR="00F52489" w:rsidRDefault="00F52489">
      <w:pPr>
        <w:widowControl/>
        <w:jc w:val="left"/>
        <w:rPr>
          <w:b/>
        </w:rPr>
      </w:pPr>
    </w:p>
    <w:p w14:paraId="7080F413" w14:textId="77777777" w:rsidR="00F52489" w:rsidRDefault="00000000">
      <w:pPr>
        <w:pStyle w:val="4"/>
        <w:pBdr>
          <w:top w:val="nil"/>
          <w:left w:val="nil"/>
          <w:bottom w:val="nil"/>
          <w:right w:val="nil"/>
          <w:between w:val="nil"/>
        </w:pBdr>
        <w:spacing w:before="60" w:after="120"/>
        <w:ind w:left="0" w:firstLine="0"/>
        <w:rPr>
          <w:color w:val="000000"/>
          <w:sz w:val="20"/>
          <w:szCs w:val="20"/>
          <w:u w:val="single"/>
        </w:rPr>
      </w:pPr>
      <w:r>
        <w:rPr>
          <w:sz w:val="20"/>
          <w:szCs w:val="20"/>
          <w:u w:val="single"/>
        </w:rPr>
        <w:t>Issue</w:t>
      </w:r>
      <w:r>
        <w:rPr>
          <w:color w:val="000000"/>
          <w:sz w:val="20"/>
          <w:szCs w:val="20"/>
          <w:u w:val="single"/>
        </w:rPr>
        <w:t xml:space="preserve"> 2-14~2-25: Other Tx requirements for SL-U</w:t>
      </w:r>
    </w:p>
    <w:p w14:paraId="1E207491" w14:textId="6C0F0BB9" w:rsidR="00F52489" w:rsidRPr="00233D33" w:rsidRDefault="00233D33" w:rsidP="00233D33">
      <w:pPr>
        <w:pBdr>
          <w:top w:val="nil"/>
          <w:left w:val="nil"/>
          <w:bottom w:val="nil"/>
          <w:right w:val="nil"/>
          <w:between w:val="nil"/>
        </w:pBdr>
        <w:rPr>
          <w:color w:val="000000"/>
        </w:rPr>
      </w:pPr>
      <w:r>
        <w:rPr>
          <w:color w:val="000000"/>
        </w:rPr>
        <w:t xml:space="preserve">Currently, there was </w:t>
      </w:r>
      <w:proofErr w:type="gramStart"/>
      <w:r>
        <w:rPr>
          <w:color w:val="000000"/>
        </w:rPr>
        <w:t>no</w:t>
      </w:r>
      <w:proofErr w:type="gramEnd"/>
      <w:r>
        <w:rPr>
          <w:color w:val="000000"/>
        </w:rPr>
        <w:t xml:space="preserve"> any difference between the NR-U operation and sidelink operation in unlicensed TDD bands for other Tx RF requirements perspective. So RAN4 can reuse the other Tx RF requirements of NR-U for SL-U operation.</w:t>
      </w:r>
    </w:p>
    <w:p w14:paraId="5E24954C" w14:textId="7C97F817" w:rsidR="00F52489" w:rsidRDefault="00000000">
      <w:pPr>
        <w:widowControl/>
        <w:rPr>
          <w:b/>
        </w:rPr>
      </w:pPr>
      <w:r>
        <w:rPr>
          <w:b/>
        </w:rPr>
        <w:t xml:space="preserve">Proposal #8: RAN4 can reuse the other Tx </w:t>
      </w:r>
      <w:r w:rsidR="00233D33">
        <w:rPr>
          <w:b/>
        </w:rPr>
        <w:t xml:space="preserve">RF </w:t>
      </w:r>
      <w:r>
        <w:rPr>
          <w:b/>
        </w:rPr>
        <w:t>requirements</w:t>
      </w:r>
      <w:r w:rsidR="00233D33">
        <w:rPr>
          <w:b/>
        </w:rPr>
        <w:t xml:space="preserve"> </w:t>
      </w:r>
      <w:r>
        <w:rPr>
          <w:b/>
        </w:rPr>
        <w:t>of NR-U for SL-U operation in unlicensed bands.</w:t>
      </w:r>
    </w:p>
    <w:p w14:paraId="3C806E69" w14:textId="77777777" w:rsidR="00F52489" w:rsidRDefault="00F52489">
      <w:pPr>
        <w:pBdr>
          <w:top w:val="nil"/>
          <w:left w:val="nil"/>
          <w:bottom w:val="nil"/>
          <w:right w:val="nil"/>
          <w:between w:val="nil"/>
        </w:pBdr>
        <w:jc w:val="left"/>
        <w:rPr>
          <w:color w:val="000000"/>
        </w:rPr>
      </w:pPr>
    </w:p>
    <w:p w14:paraId="261877E8" w14:textId="77777777" w:rsidR="00F52489" w:rsidRDefault="00000000">
      <w:pPr>
        <w:pStyle w:val="1"/>
        <w:numPr>
          <w:ilvl w:val="0"/>
          <w:numId w:val="5"/>
        </w:numPr>
        <w:spacing w:before="240"/>
        <w:ind w:left="270" w:hanging="270"/>
      </w:pPr>
      <w:r>
        <w:t>Conclusions</w:t>
      </w:r>
    </w:p>
    <w:p w14:paraId="13BCB6E2" w14:textId="77777777" w:rsidR="00F52489" w:rsidRDefault="00000000">
      <w:pPr>
        <w:pBdr>
          <w:top w:val="nil"/>
          <w:left w:val="nil"/>
          <w:bottom w:val="nil"/>
          <w:right w:val="nil"/>
          <w:between w:val="nil"/>
        </w:pBdr>
        <w:rPr>
          <w:color w:val="000000"/>
        </w:rPr>
      </w:pPr>
      <w:r>
        <w:rPr>
          <w:color w:val="000000"/>
        </w:rPr>
        <w:t xml:space="preserve">In this contribution, we provided the MPR simulation assumptions and </w:t>
      </w:r>
      <w:r>
        <w:t>detailed</w:t>
      </w:r>
      <w:r>
        <w:rPr>
          <w:color w:val="000000"/>
        </w:rPr>
        <w:t xml:space="preserve"> RF parameters for SL-U operation in unlicensed bands. </w:t>
      </w:r>
      <w:r w:rsidR="00F057F2">
        <w:rPr>
          <w:color w:val="000000"/>
        </w:rPr>
        <w:t>Also,</w:t>
      </w:r>
      <w:r>
        <w:rPr>
          <w:color w:val="000000"/>
        </w:rPr>
        <w:t xml:space="preserve"> we propose our view on the system parameters and Tx RF requirements for SL-U </w:t>
      </w:r>
      <w:r>
        <w:t>devices</w:t>
      </w:r>
      <w:r>
        <w:rPr>
          <w:color w:val="000000"/>
        </w:rPr>
        <w:t xml:space="preserve"> in </w:t>
      </w:r>
      <w:r>
        <w:t>R</w:t>
      </w:r>
      <w:r>
        <w:rPr>
          <w:color w:val="000000"/>
        </w:rPr>
        <w:t xml:space="preserve">el-18 as </w:t>
      </w:r>
      <w:r>
        <w:t>follows</w:t>
      </w:r>
      <w:r>
        <w:rPr>
          <w:color w:val="000000"/>
        </w:rPr>
        <w:t>.</w:t>
      </w:r>
    </w:p>
    <w:p w14:paraId="49C0A709" w14:textId="77777777" w:rsidR="00F52489" w:rsidRDefault="00F52489">
      <w:pPr>
        <w:widowControl/>
        <w:spacing w:after="0"/>
        <w:jc w:val="left"/>
      </w:pPr>
    </w:p>
    <w:p w14:paraId="7ED4E12D" w14:textId="77777777" w:rsidR="00F52489" w:rsidRDefault="00000000">
      <w:pPr>
        <w:widowControl/>
        <w:rPr>
          <w:color w:val="000000"/>
        </w:rPr>
      </w:pPr>
      <w:r>
        <w:rPr>
          <w:b/>
        </w:rPr>
        <w:t>Proposal #1: For MPR evaluation for SL-U operation in unlicensed bands, RAN4 can consider the provided RF parameters and simulation assumptions in section 2.</w:t>
      </w:r>
    </w:p>
    <w:p w14:paraId="47CF848B" w14:textId="77777777" w:rsidR="00F52489" w:rsidRDefault="00000000">
      <w:pPr>
        <w:widowControl/>
      </w:pPr>
      <w:r>
        <w:rPr>
          <w:b/>
        </w:rPr>
        <w:t>Proposal #2: The SL-U RF requirements can be captured in suffix E in TS38.101-1 and prefer to change ‘V2X’ acronym to ‘Sidelink’ acronym in TS38.101-1.</w:t>
      </w:r>
      <w:r>
        <w:t xml:space="preserve"> </w:t>
      </w:r>
    </w:p>
    <w:p w14:paraId="7F1C9272" w14:textId="099BF53C" w:rsidR="00F52489" w:rsidRDefault="00000000">
      <w:pPr>
        <w:widowControl/>
      </w:pPr>
      <w:r>
        <w:rPr>
          <w:b/>
        </w:rPr>
        <w:t>Proposal #3: The 10MHz CBW was not supported for SL-U operation in a single carrier. It will be revisited when the 10MHz CBW is supported for NR-U operation in unlicensed bands</w:t>
      </w:r>
      <w:r w:rsidR="00BD6250">
        <w:rPr>
          <w:b/>
        </w:rPr>
        <w:t xml:space="preserve"> as standalone</w:t>
      </w:r>
      <w:r>
        <w:t>.</w:t>
      </w:r>
    </w:p>
    <w:p w14:paraId="062B2A56" w14:textId="77777777" w:rsidR="00F52489" w:rsidRDefault="00000000">
      <w:pPr>
        <w:widowControl/>
        <w:rPr>
          <w:b/>
        </w:rPr>
      </w:pPr>
      <w:r>
        <w:rPr>
          <w:b/>
        </w:rPr>
        <w:t>Proposal #4: Reuse the channel raster definitions for bands n46, n96 and n102 as specified in clause 5.4.2.1 NR-ARFCN and channel raster. And prefer not to define the channel raster shift in SL-U.</w:t>
      </w:r>
    </w:p>
    <w:p w14:paraId="4103CFBA" w14:textId="77777777" w:rsidR="00F52489" w:rsidRDefault="00000000">
      <w:pPr>
        <w:widowControl/>
        <w:rPr>
          <w:b/>
        </w:rPr>
      </w:pPr>
      <w:r>
        <w:rPr>
          <w:b/>
        </w:rPr>
        <w:t>Proposal #5: RAN4 does not need to define the synchronization raster for SL-U operation since the synchronization raster was not specified for NR-U and V2X operation.</w:t>
      </w:r>
    </w:p>
    <w:p w14:paraId="4A44EC09" w14:textId="77777777" w:rsidR="00F52489" w:rsidRDefault="00000000">
      <w:pPr>
        <w:widowControl/>
        <w:rPr>
          <w:b/>
        </w:rPr>
      </w:pPr>
      <w:r>
        <w:rPr>
          <w:b/>
        </w:rPr>
        <w:t>Proposal #6: For Maximum output power, both PC3 and PC5 shall be considered for SL-U operation in unlicensed bands.</w:t>
      </w:r>
    </w:p>
    <w:p w14:paraId="511FEA76" w14:textId="1381945D" w:rsidR="00F52489" w:rsidRDefault="00000000">
      <w:pPr>
        <w:widowControl/>
        <w:rPr>
          <w:b/>
        </w:rPr>
      </w:pPr>
      <w:r>
        <w:rPr>
          <w:b/>
        </w:rPr>
        <w:t>Proposal #7: RAN4 can derive MPR requirements for both PC3/PC5 UE with CP-OFDM waveform.</w:t>
      </w:r>
    </w:p>
    <w:p w14:paraId="6F26799F" w14:textId="77777777" w:rsidR="00233D33" w:rsidRDefault="00233D33" w:rsidP="00233D33">
      <w:pPr>
        <w:widowControl/>
        <w:rPr>
          <w:b/>
        </w:rPr>
      </w:pPr>
      <w:r>
        <w:rPr>
          <w:b/>
        </w:rPr>
        <w:t>Proposal #8: RAN4 can reuse the other Tx RF requirements of NR-U for SL-U operation in unlicensed bands.</w:t>
      </w:r>
    </w:p>
    <w:p w14:paraId="584550A3" w14:textId="77777777" w:rsidR="00F52489" w:rsidRDefault="00F52489">
      <w:pPr>
        <w:widowControl/>
        <w:jc w:val="left"/>
        <w:rPr>
          <w:b/>
        </w:rPr>
      </w:pPr>
    </w:p>
    <w:p w14:paraId="76335A93" w14:textId="77777777" w:rsidR="00F52489" w:rsidRDefault="00000000">
      <w:pPr>
        <w:pBdr>
          <w:top w:val="nil"/>
          <w:left w:val="nil"/>
          <w:bottom w:val="nil"/>
          <w:right w:val="nil"/>
          <w:between w:val="nil"/>
        </w:pBdr>
        <w:rPr>
          <w:color w:val="000000"/>
        </w:rPr>
      </w:pPr>
      <w:r>
        <w:rPr>
          <w:color w:val="000000"/>
        </w:rPr>
        <w:t xml:space="preserve">Based on the above proposals and decision, RAN4 can study and specify the related RF core requirements for NR SL evolution WI in Rel-18. </w:t>
      </w:r>
    </w:p>
    <w:p w14:paraId="2B269FAE" w14:textId="77777777" w:rsidR="00F52489" w:rsidRDefault="00F52489">
      <w:pPr>
        <w:pBdr>
          <w:top w:val="nil"/>
          <w:left w:val="nil"/>
          <w:bottom w:val="nil"/>
          <w:right w:val="nil"/>
          <w:between w:val="nil"/>
        </w:pBdr>
        <w:jc w:val="left"/>
        <w:rPr>
          <w:color w:val="000000"/>
        </w:rPr>
      </w:pPr>
    </w:p>
    <w:p w14:paraId="03C8ADCE" w14:textId="77777777" w:rsidR="00F52489" w:rsidRDefault="00000000">
      <w:pPr>
        <w:pStyle w:val="1"/>
        <w:spacing w:before="240"/>
      </w:pPr>
      <w:r>
        <w:t>Reference</w:t>
      </w:r>
    </w:p>
    <w:p w14:paraId="44C07846" w14:textId="77777777" w:rsidR="00F52489" w:rsidRDefault="00000000">
      <w:pPr>
        <w:widowControl/>
        <w:rPr>
          <w:color w:val="000000"/>
          <w:sz w:val="20"/>
          <w:szCs w:val="20"/>
        </w:rPr>
      </w:pPr>
      <w:r>
        <w:rPr>
          <w:color w:val="000000"/>
          <w:sz w:val="20"/>
          <w:szCs w:val="20"/>
        </w:rPr>
        <w:t xml:space="preserve">[1] R4-2303568, “WF on NR sidelink </w:t>
      </w:r>
      <w:proofErr w:type="gramStart"/>
      <w:r>
        <w:rPr>
          <w:color w:val="000000"/>
          <w:sz w:val="20"/>
          <w:szCs w:val="20"/>
        </w:rPr>
        <w:t>evolution ,</w:t>
      </w:r>
      <w:proofErr w:type="gramEnd"/>
      <w:r>
        <w:rPr>
          <w:color w:val="000000"/>
          <w:sz w:val="20"/>
          <w:szCs w:val="20"/>
        </w:rPr>
        <w:t xml:space="preserve"> ” LGE </w:t>
      </w:r>
    </w:p>
    <w:p w14:paraId="26D2F75D" w14:textId="77777777" w:rsidR="00F52489" w:rsidRDefault="00000000">
      <w:pPr>
        <w:widowControl/>
        <w:rPr>
          <w:sz w:val="24"/>
          <w:szCs w:val="24"/>
        </w:rPr>
      </w:pPr>
      <w:r>
        <w:rPr>
          <w:color w:val="000000"/>
          <w:sz w:val="20"/>
          <w:szCs w:val="20"/>
        </w:rPr>
        <w:t>[2] RP-230077, “WID revision: NR sidelink evolution,” OPPO</w:t>
      </w:r>
    </w:p>
    <w:p w14:paraId="06686DC6" w14:textId="77777777" w:rsidR="00F52489" w:rsidRDefault="00000000">
      <w:pPr>
        <w:widowControl/>
        <w:rPr>
          <w:sz w:val="20"/>
          <w:szCs w:val="20"/>
        </w:rPr>
      </w:pPr>
      <w:r>
        <w:rPr>
          <w:sz w:val="20"/>
          <w:szCs w:val="20"/>
        </w:rPr>
        <w:t>[3] R4-2005221, “WF on NR-U UE Tx requirements,” SKW</w:t>
      </w:r>
    </w:p>
    <w:p w14:paraId="6F48073D" w14:textId="77777777" w:rsidR="00F52489" w:rsidRDefault="00000000">
      <w:pPr>
        <w:widowControl/>
        <w:rPr>
          <w:sz w:val="20"/>
          <w:szCs w:val="20"/>
        </w:rPr>
      </w:pPr>
      <w:r>
        <w:rPr>
          <w:sz w:val="20"/>
          <w:szCs w:val="20"/>
        </w:rPr>
        <w:t>[4] R4-2008436, “WF on NR-U MPR,” MediaTek, SKW</w:t>
      </w:r>
    </w:p>
    <w:p w14:paraId="394AA5D9" w14:textId="77777777" w:rsidR="00F52489" w:rsidRDefault="00000000">
      <w:pPr>
        <w:widowControl/>
        <w:rPr>
          <w:sz w:val="20"/>
          <w:szCs w:val="20"/>
        </w:rPr>
      </w:pPr>
      <w:r>
        <w:rPr>
          <w:sz w:val="20"/>
          <w:szCs w:val="20"/>
        </w:rPr>
        <w:lastRenderedPageBreak/>
        <w:t>[5] TR38.785</w:t>
      </w:r>
    </w:p>
    <w:p w14:paraId="7FC944E1" w14:textId="77777777" w:rsidR="00F52489" w:rsidRDefault="00000000">
      <w:pPr>
        <w:widowControl/>
        <w:rPr>
          <w:color w:val="000000"/>
          <w:sz w:val="20"/>
          <w:szCs w:val="20"/>
        </w:rPr>
      </w:pPr>
      <w:r>
        <w:rPr>
          <w:sz w:val="20"/>
          <w:szCs w:val="20"/>
        </w:rPr>
        <w:t>[</w:t>
      </w:r>
      <w:r>
        <w:rPr>
          <w:color w:val="000000"/>
          <w:sz w:val="20"/>
          <w:szCs w:val="20"/>
        </w:rPr>
        <w:t>6] R4-2004933, “[NRU] EVM Budget and Other Assumptions for MPR and Applying NRU Masks,” SKW</w:t>
      </w:r>
    </w:p>
    <w:p w14:paraId="67645DC7" w14:textId="22ED772E" w:rsidR="00F52489" w:rsidRDefault="00000000">
      <w:pPr>
        <w:widowControl/>
        <w:rPr>
          <w:color w:val="000000"/>
          <w:sz w:val="20"/>
          <w:szCs w:val="20"/>
        </w:rPr>
      </w:pPr>
      <w:r>
        <w:rPr>
          <w:color w:val="000000"/>
          <w:sz w:val="20"/>
          <w:szCs w:val="20"/>
        </w:rPr>
        <w:t>[7] TR38.889</w:t>
      </w:r>
    </w:p>
    <w:p w14:paraId="0B01E579" w14:textId="54E768DC" w:rsidR="00A77DD0" w:rsidRPr="00A77DD0" w:rsidRDefault="00A77DD0">
      <w:pPr>
        <w:widowControl/>
        <w:rPr>
          <w:color w:val="000000"/>
          <w:sz w:val="20"/>
          <w:szCs w:val="20"/>
        </w:rPr>
      </w:pPr>
      <w:r>
        <w:rPr>
          <w:color w:val="000000"/>
          <w:sz w:val="20"/>
          <w:szCs w:val="20"/>
        </w:rPr>
        <w:t xml:space="preserve">[8] R4-2217131, WF on NR-U PC3 requirement </w:t>
      </w:r>
      <w:r w:rsidRPr="00A77DD0">
        <w:rPr>
          <w:color w:val="000000"/>
          <w:sz w:val="20"/>
          <w:szCs w:val="20"/>
        </w:rPr>
        <w:t>and MPR/A-MPR”, Charter Communication</w:t>
      </w:r>
    </w:p>
    <w:sectPr w:rsidR="00A77DD0" w:rsidRPr="00A77DD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68930" w14:textId="77777777" w:rsidR="00B87720" w:rsidRDefault="00B87720" w:rsidP="00BD6250">
      <w:pPr>
        <w:spacing w:after="0"/>
      </w:pPr>
      <w:r>
        <w:separator/>
      </w:r>
    </w:p>
  </w:endnote>
  <w:endnote w:type="continuationSeparator" w:id="0">
    <w:p w14:paraId="055BC778" w14:textId="77777777" w:rsidR="00B87720" w:rsidRDefault="00B87720" w:rsidP="00BD62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8DE0" w14:textId="77777777" w:rsidR="00B87720" w:rsidRDefault="00B87720" w:rsidP="00BD6250">
      <w:pPr>
        <w:spacing w:after="0"/>
      </w:pPr>
      <w:r>
        <w:separator/>
      </w:r>
    </w:p>
  </w:footnote>
  <w:footnote w:type="continuationSeparator" w:id="0">
    <w:p w14:paraId="1BF9E619" w14:textId="77777777" w:rsidR="00B87720" w:rsidRDefault="00B87720" w:rsidP="00BD62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A28CF"/>
    <w:multiLevelType w:val="multilevel"/>
    <w:tmpl w:val="9F88AF60"/>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1"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pStyle w:va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2" w15:restartNumberingAfterBreak="0">
    <w:nsid w:val="309A4F72"/>
    <w:multiLevelType w:val="multilevel"/>
    <w:tmpl w:val="126ADDA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7330B6"/>
    <w:multiLevelType w:val="multilevel"/>
    <w:tmpl w:val="0046E680"/>
    <w:lvl w:ilvl="0">
      <w:start w:val="4"/>
      <w:numFmt w:val="decimal"/>
      <w:pStyle w:val="CharCharCharChar"/>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63020515">
    <w:abstractNumId w:val="2"/>
  </w:num>
  <w:num w:numId="2" w16cid:durableId="851335192">
    <w:abstractNumId w:val="1"/>
  </w:num>
  <w:num w:numId="3" w16cid:durableId="407771928">
    <w:abstractNumId w:val="3"/>
  </w:num>
  <w:num w:numId="4" w16cid:durableId="30303509">
    <w:abstractNumId w:val="4"/>
  </w:num>
  <w:num w:numId="5" w16cid:durableId="1189374452">
    <w:abstractNumId w:val="0"/>
  </w:num>
  <w:num w:numId="6" w16cid:durableId="964510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89"/>
    <w:rsid w:val="0016216A"/>
    <w:rsid w:val="00233D33"/>
    <w:rsid w:val="002B58B5"/>
    <w:rsid w:val="003A3B13"/>
    <w:rsid w:val="004377FA"/>
    <w:rsid w:val="0067299F"/>
    <w:rsid w:val="006758F4"/>
    <w:rsid w:val="00860B25"/>
    <w:rsid w:val="00A67462"/>
    <w:rsid w:val="00A77DD0"/>
    <w:rsid w:val="00AE016E"/>
    <w:rsid w:val="00B87720"/>
    <w:rsid w:val="00BD6250"/>
    <w:rsid w:val="00F057F2"/>
    <w:rsid w:val="00F524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B83AE"/>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uiPriority w:val="59"/>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eastAsia="ja-JP"/>
    </w:rPr>
  </w:style>
  <w:style w:type="paragraph" w:customStyle="1" w:styleId="tdoc-header">
    <w:name w:val="tdoc-header"/>
    <w:rsid w:val="00AF2E61"/>
    <w:rPr>
      <w:rFonts w:ascii="Arial"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列出段落1,R4_bullets"/>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pPr>
      <w:spacing w:after="180"/>
    </w:pPr>
    <w:tblPr>
      <w:tblStyleRowBandSize w:val="1"/>
      <w:tblStyleColBandSize w:val="1"/>
      <w:tblCellMar>
        <w:left w:w="108" w:type="dxa"/>
        <w:right w:w="108" w:type="dxa"/>
      </w:tblCellMar>
    </w:tblPr>
  </w:style>
  <w:style w:type="table" w:customStyle="1" w:styleId="aff4">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stx7qqrnizBRO7p69ovcJle64w==">AMUW2mW02ycnEmYznl5smEvm1h00a6g72FNRWcOYoxJe2KneCwzwpQIjCLb/hJMtqpFxTAHOehH78FJQpEVNyFfeMrfNjDUTP+SPi9bguMCYqyslVxt5HOO6eAFKxaX0Z3G/UkxBIKjm1+QLGb149gslWmqZfINVgjpsHlTtftVP10Qnjxlwripw1aEvNThu7v/pIyJbknAnvp7kcqMsqmo2/mOZurR0L9G6W1B8LEZX5Mw/WmE2+bM=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1743</Words>
  <Characters>9941</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6</cp:revision>
  <dcterms:created xsi:type="dcterms:W3CDTF">2023-04-07T03:36:00Z</dcterms:created>
  <dcterms:modified xsi:type="dcterms:W3CDTF">2023-04-10T06:05:00Z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